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7C8D38B" w:rsidR="002D38CF" w:rsidRDefault="00AC7C41">
      <w:pPr>
        <w:jc w:val="both"/>
        <w:rPr>
          <w:rFonts w:ascii="Arial" w:eastAsia="Arial" w:hAnsi="Arial" w:cs="Arial"/>
          <w:sz w:val="22"/>
          <w:szCs w:val="22"/>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06BAD066" wp14:editId="7D397D5A">
                <wp:simplePos x="0" y="0"/>
                <wp:positionH relativeFrom="column">
                  <wp:posOffset>-152400</wp:posOffset>
                </wp:positionH>
                <wp:positionV relativeFrom="paragraph">
                  <wp:posOffset>2540</wp:posOffset>
                </wp:positionV>
                <wp:extent cx="6794500" cy="342900"/>
                <wp:effectExtent l="0" t="0" r="635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6794500" cy="342900"/>
                        </a:xfrm>
                        <a:prstGeom prst="rect">
                          <a:avLst/>
                        </a:prstGeom>
                        <a:solidFill>
                          <a:srgbClr val="1D6962"/>
                        </a:solidFill>
                        <a:ln>
                          <a:noFill/>
                        </a:ln>
                      </wps:spPr>
                      <wps:txbx>
                        <w:txbxContent>
                          <w:p w14:paraId="2E40D800" w14:textId="4878D5C6" w:rsidR="002D38CF" w:rsidRPr="00AD0E57" w:rsidRDefault="00AC7C41" w:rsidP="00AD0E57">
                            <w:pPr>
                              <w:jc w:val="center"/>
                              <w:textDirection w:val="btLr"/>
                              <w:rPr>
                                <w:sz w:val="32"/>
                                <w:szCs w:val="32"/>
                              </w:rPr>
                            </w:pPr>
                            <w:r w:rsidRPr="00AD0E57">
                              <w:rPr>
                                <w:rFonts w:ascii="Arial" w:eastAsia="Arial" w:hAnsi="Arial" w:cs="Arial"/>
                                <w:b/>
                                <w:smallCaps/>
                                <w:color w:val="FEFEFE"/>
                                <w:sz w:val="32"/>
                                <w:szCs w:val="32"/>
                              </w:rPr>
                              <w:t xml:space="preserve">JUDICIAL TRENDS IN PUBLIC HEALTH – </w:t>
                            </w:r>
                            <w:r w:rsidR="008C6463">
                              <w:rPr>
                                <w:rFonts w:ascii="Arial" w:eastAsia="Arial" w:hAnsi="Arial" w:cs="Arial"/>
                                <w:b/>
                                <w:smallCaps/>
                                <w:color w:val="FEFEFE"/>
                                <w:sz w:val="32"/>
                                <w:szCs w:val="32"/>
                              </w:rPr>
                              <w:t>MAY 14</w:t>
                            </w:r>
                            <w:r w:rsidR="00AB0120" w:rsidRPr="00AD0E57">
                              <w:rPr>
                                <w:rFonts w:ascii="Arial" w:eastAsia="Arial" w:hAnsi="Arial" w:cs="Arial"/>
                                <w:b/>
                                <w:smallCaps/>
                                <w:color w:val="FEFEFE"/>
                                <w:sz w:val="32"/>
                                <w:szCs w:val="32"/>
                              </w:rPr>
                              <w:t>, 202</w:t>
                            </w:r>
                            <w:r w:rsidR="004A1648">
                              <w:rPr>
                                <w:rFonts w:ascii="Arial" w:eastAsia="Arial" w:hAnsi="Arial" w:cs="Arial"/>
                                <w:b/>
                                <w:smallCaps/>
                                <w:color w:val="FEFEFE"/>
                                <w:sz w:val="32"/>
                                <w:szCs w:val="32"/>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BAD066" id="Rectangle 29" o:spid="_x0000_s1026" style="position:absolute;left:0;text-align:left;margin-left:-12pt;margin-top:.2pt;width: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" fillcolor="#1d6962" stroked="f">
                <v:textbox inset="2.53958mm,1.2694mm,2.53958mm,1.2694mm">
                  <w:txbxContent>
                    <w:p w14:paraId="2E40D800" w14:textId="4878D5C6" w:rsidR="002D38CF" w:rsidRPr="00AD0E57" w:rsidRDefault="00AC7C41" w:rsidP="00AD0E57">
                      <w:pPr>
                        <w:jc w:val="center"/>
                        <w:textDirection w:val="btLr"/>
                        <w:rPr>
                          <w:sz w:val="32"/>
                          <w:szCs w:val="32"/>
                        </w:rPr>
                      </w:pPr>
                      <w:r w:rsidRPr="00AD0E57">
                        <w:rPr>
                          <w:rFonts w:ascii="Arial" w:eastAsia="Arial" w:hAnsi="Arial" w:cs="Arial"/>
                          <w:b/>
                          <w:smallCaps/>
                          <w:color w:val="FEFEFE"/>
                          <w:sz w:val="32"/>
                          <w:szCs w:val="32"/>
                        </w:rPr>
                        <w:t xml:space="preserve">JUDICIAL TRENDS IN PUBLIC HEALTH – </w:t>
                      </w:r>
                      <w:r w:rsidR="008C6463">
                        <w:rPr>
                          <w:rFonts w:ascii="Arial" w:eastAsia="Arial" w:hAnsi="Arial" w:cs="Arial"/>
                          <w:b/>
                          <w:smallCaps/>
                          <w:color w:val="FEFEFE"/>
                          <w:sz w:val="32"/>
                          <w:szCs w:val="32"/>
                        </w:rPr>
                        <w:t>MAY 14</w:t>
                      </w:r>
                      <w:r w:rsidR="00AB0120" w:rsidRPr="00AD0E57">
                        <w:rPr>
                          <w:rFonts w:ascii="Arial" w:eastAsia="Arial" w:hAnsi="Arial" w:cs="Arial"/>
                          <w:b/>
                          <w:smallCaps/>
                          <w:color w:val="FEFEFE"/>
                          <w:sz w:val="32"/>
                          <w:szCs w:val="32"/>
                        </w:rPr>
                        <w:t>, 202</w:t>
                      </w:r>
                      <w:r w:rsidR="004A1648">
                        <w:rPr>
                          <w:rFonts w:ascii="Arial" w:eastAsia="Arial" w:hAnsi="Arial" w:cs="Arial"/>
                          <w:b/>
                          <w:smallCaps/>
                          <w:color w:val="FEFEFE"/>
                          <w:sz w:val="32"/>
                          <w:szCs w:val="32"/>
                        </w:rPr>
                        <w:t>4</w:t>
                      </w:r>
                    </w:p>
                  </w:txbxContent>
                </v:textbox>
                <w10:wrap type="square"/>
              </v:rect>
            </w:pict>
          </mc:Fallback>
        </mc:AlternateContent>
      </w:r>
    </w:p>
    <w:p w14:paraId="0AD2E1BC" w14:textId="77777777" w:rsidR="00366725" w:rsidRDefault="00366725" w:rsidP="00366725">
      <w:pPr>
        <w:jc w:val="both"/>
        <w:rPr>
          <w:rFonts w:ascii="Arial" w:hAnsi="Arial" w:cs="Arial"/>
          <w:sz w:val="22"/>
          <w:szCs w:val="22"/>
        </w:rPr>
      </w:pPr>
      <w:r w:rsidRPr="0049368E">
        <w:rPr>
          <w:rFonts w:ascii="Arial" w:hAnsi="Arial" w:cs="Arial"/>
          <w:sz w:val="22"/>
          <w:szCs w:val="22"/>
        </w:rPr>
        <w:t xml:space="preserve">The Network for Public Health Law monitors key court cases and relevant judicial trends in public health. The Network’s </w:t>
      </w:r>
      <w:r>
        <w:rPr>
          <w:rFonts w:ascii="Arial" w:hAnsi="Arial" w:cs="Arial"/>
          <w:sz w:val="22"/>
          <w:szCs w:val="22"/>
        </w:rPr>
        <w:t>quarterly</w:t>
      </w:r>
      <w:r w:rsidRPr="0049368E">
        <w:rPr>
          <w:rFonts w:ascii="Arial" w:hAnsi="Arial" w:cs="Arial"/>
          <w:sz w:val="22"/>
          <w:szCs w:val="22"/>
        </w:rPr>
        <w:t xml:space="preserve"> reporter, </w:t>
      </w:r>
      <w:r w:rsidRPr="00F9324B">
        <w:rPr>
          <w:rFonts w:ascii="Arial" w:hAnsi="Arial" w:cs="Arial"/>
          <w:b/>
          <w:i/>
          <w:iCs/>
          <w:sz w:val="22"/>
          <w:szCs w:val="22"/>
        </w:rPr>
        <w:t>Judicial Trends in Public Health</w:t>
      </w:r>
      <w:r w:rsidRPr="0049368E">
        <w:rPr>
          <w:rFonts w:ascii="Arial" w:hAnsi="Arial" w:cs="Arial"/>
          <w:sz w:val="22"/>
          <w:szCs w:val="22"/>
        </w:rPr>
        <w:t xml:space="preserve"> (JTPH), highlights select, recently published cases in public health law and policy from the prior 3 months. Case abstracts are organized within 1</w:t>
      </w:r>
      <w:r>
        <w:rPr>
          <w:rFonts w:ascii="Arial" w:hAnsi="Arial" w:cs="Arial"/>
          <w:sz w:val="22"/>
          <w:szCs w:val="22"/>
        </w:rPr>
        <w:t>1</w:t>
      </w:r>
      <w:r w:rsidRPr="0049368E">
        <w:rPr>
          <w:rFonts w:ascii="Arial" w:hAnsi="Arial" w:cs="Arial"/>
          <w:sz w:val="22"/>
          <w:szCs w:val="22"/>
        </w:rPr>
        <w:t xml:space="preserve"> key topics (adapted from </w:t>
      </w:r>
      <w:r>
        <w:rPr>
          <w:rFonts w:ascii="Arial" w:eastAsia="Arial" w:hAnsi="Arial" w:cs="Arial"/>
          <w:smallCaps/>
          <w:sz w:val="22"/>
          <w:szCs w:val="22"/>
        </w:rPr>
        <w:t>James G. Hodge, Jr., Public Health Law in a Nutshell, 4</w:t>
      </w:r>
      <w:r w:rsidRPr="00B5648C">
        <w:rPr>
          <w:rFonts w:ascii="Arial" w:eastAsia="Arial" w:hAnsi="Arial" w:cs="Arial"/>
          <w:smallCaps/>
          <w:sz w:val="22"/>
          <w:szCs w:val="22"/>
          <w:vertAlign w:val="superscript"/>
        </w:rPr>
        <w:t>th</w:t>
      </w:r>
      <w:r>
        <w:rPr>
          <w:rFonts w:ascii="Arial" w:eastAsia="Arial" w:hAnsi="Arial" w:cs="Arial"/>
          <w:smallCaps/>
          <w:sz w:val="22"/>
          <w:szCs w:val="22"/>
        </w:rPr>
        <w:t xml:space="preserve"> ed.</w:t>
      </w:r>
      <w:r>
        <w:rPr>
          <w:rFonts w:ascii="Arial" w:eastAsia="Arial" w:hAnsi="Arial" w:cs="Arial"/>
          <w:sz w:val="22"/>
          <w:szCs w:val="22"/>
        </w:rPr>
        <w:t xml:space="preserve"> (2021)</w:t>
      </w:r>
      <w:r w:rsidRPr="0049368E">
        <w:rPr>
          <w:rFonts w:ascii="Arial" w:hAnsi="Arial" w:cs="Arial"/>
          <w:sz w:val="22"/>
          <w:szCs w:val="22"/>
        </w:rPr>
        <w:t xml:space="preserve">), including hyperlinks to the full decisions (where available). Contact the </w:t>
      </w:r>
      <w:hyperlink r:id="rId8" w:history="1">
        <w:r w:rsidRPr="0049368E">
          <w:rPr>
            <w:rStyle w:val="Hyperlink"/>
            <w:rFonts w:ascii="Arial" w:hAnsi="Arial" w:cs="Arial"/>
            <w:sz w:val="22"/>
            <w:szCs w:val="22"/>
          </w:rPr>
          <w:t>Network</w:t>
        </w:r>
      </w:hyperlink>
      <w:r w:rsidRPr="0049368E">
        <w:rPr>
          <w:rFonts w:ascii="Arial" w:hAnsi="Arial" w:cs="Arial"/>
          <w:sz w:val="22"/>
          <w:szCs w:val="22"/>
        </w:rPr>
        <w:t xml:space="preserve"> for more information</w:t>
      </w:r>
      <w:r>
        <w:rPr>
          <w:rFonts w:ascii="Arial" w:hAnsi="Arial" w:cs="Arial"/>
          <w:sz w:val="22"/>
          <w:szCs w:val="22"/>
        </w:rPr>
        <w:t xml:space="preserve">, </w:t>
      </w:r>
      <w:r w:rsidRPr="0049368E">
        <w:rPr>
          <w:rFonts w:ascii="Arial" w:hAnsi="Arial" w:cs="Arial"/>
          <w:sz w:val="22"/>
          <w:szCs w:val="22"/>
        </w:rPr>
        <w:t>questions</w:t>
      </w:r>
      <w:r>
        <w:rPr>
          <w:rFonts w:ascii="Arial" w:hAnsi="Arial" w:cs="Arial"/>
          <w:sz w:val="22"/>
          <w:szCs w:val="22"/>
        </w:rPr>
        <w:t>,</w:t>
      </w:r>
      <w:r w:rsidRPr="0049368E">
        <w:rPr>
          <w:rFonts w:ascii="Arial" w:hAnsi="Arial" w:cs="Arial"/>
          <w:sz w:val="22"/>
          <w:szCs w:val="22"/>
        </w:rPr>
        <w:t xml:space="preserve"> or comments</w:t>
      </w:r>
      <w:r>
        <w:rPr>
          <w:rFonts w:ascii="Arial" w:hAnsi="Arial" w:cs="Arial"/>
          <w:sz w:val="22"/>
          <w:szCs w:val="22"/>
        </w:rPr>
        <w:t>.</w:t>
      </w:r>
    </w:p>
    <w:p w14:paraId="1127C9FA" w14:textId="77777777" w:rsidR="00AD0E57" w:rsidRPr="0049368E" w:rsidRDefault="00AD0E57" w:rsidP="00AB0120">
      <w:pPr>
        <w:jc w:val="both"/>
        <w:rPr>
          <w:rFonts w:ascii="Arial" w:hAnsi="Arial" w:cs="Arial"/>
          <w:sz w:val="22"/>
          <w:szCs w:val="22"/>
        </w:rPr>
      </w:pPr>
    </w:p>
    <w:p w14:paraId="3A6136FD" w14:textId="77777777" w:rsidR="002D38CF" w:rsidRDefault="00AC7C41" w:rsidP="00AD0E57">
      <w:pPr>
        <w:rPr>
          <w:rFonts w:ascii="Arial" w:eastAsia="Arial" w:hAnsi="Arial" w:cs="Arial"/>
          <w:b/>
          <w:color w:val="1F3864" w:themeColor="accent1" w:themeShade="80"/>
          <w:sz w:val="22"/>
          <w:szCs w:val="22"/>
        </w:rPr>
      </w:pPr>
      <w:r w:rsidRPr="00AD0E57">
        <w:rPr>
          <w:rFonts w:ascii="Arial" w:eastAsia="Arial" w:hAnsi="Arial" w:cs="Arial"/>
          <w:b/>
          <w:color w:val="1F3864" w:themeColor="accent1" w:themeShade="80"/>
          <w:sz w:val="22"/>
          <w:szCs w:val="22"/>
        </w:rPr>
        <w:t>JTPH TOPIC DIGEST</w:t>
      </w:r>
    </w:p>
    <w:p w14:paraId="6A8A2236" w14:textId="77777777" w:rsidR="00AD0E57" w:rsidRDefault="00AD0E57">
      <w:pPr>
        <w:jc w:val="center"/>
        <w:rPr>
          <w:rFonts w:ascii="Arial" w:eastAsia="Arial" w:hAnsi="Arial" w:cs="Arial"/>
          <w:b/>
          <w:color w:val="1F3864" w:themeColor="accent1" w:themeShade="80"/>
          <w:sz w:val="22"/>
          <w:szCs w:val="22"/>
        </w:rPr>
      </w:pPr>
    </w:p>
    <w:p w14:paraId="00000005" w14:textId="77777777" w:rsidR="00AD0E57" w:rsidRPr="00AD0E57" w:rsidRDefault="00AD0E57">
      <w:pPr>
        <w:jc w:val="center"/>
        <w:rPr>
          <w:rFonts w:ascii="Arial" w:eastAsia="Arial" w:hAnsi="Arial" w:cs="Arial"/>
          <w:b/>
          <w:color w:val="1F3864" w:themeColor="accent1" w:themeShade="80"/>
          <w:sz w:val="22"/>
          <w:szCs w:val="22"/>
        </w:rPr>
        <w:sectPr w:rsidR="00AD0E57" w:rsidRPr="00AD0E57">
          <w:headerReference w:type="default" r:id="rId9"/>
          <w:headerReference w:type="first" r:id="rId10"/>
          <w:pgSz w:w="12240" w:h="15840"/>
          <w:pgMar w:top="1440" w:right="1080" w:bottom="1440" w:left="1080" w:header="720" w:footer="720" w:gutter="0"/>
          <w:pgNumType w:start="1"/>
          <w:cols w:space="720"/>
          <w:titlePg/>
        </w:sectPr>
      </w:pPr>
    </w:p>
    <w:p w14:paraId="00000006" w14:textId="163F8AEC"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SOURCE &amp; SCOPE OF PUBLIC HEALTH LEGAL POWERS </w:t>
      </w:r>
    </w:p>
    <w:p w14:paraId="00000007" w14:textId="4825F6CA"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CONSTITUTIONAL RIGHTS &amp; THE PUBLIC’S HEALTH </w:t>
      </w:r>
      <w:r w:rsidR="001E757E" w:rsidRPr="001E757E">
        <w:rPr>
          <w:rFonts w:ascii="Arial" w:eastAsia="Arial" w:hAnsi="Arial" w:cs="Arial"/>
          <w:b/>
          <w:bCs/>
          <w:color w:val="C45911" w:themeColor="accent2" w:themeShade="BF"/>
          <w:sz w:val="22"/>
          <w:szCs w:val="22"/>
        </w:rPr>
        <w:t>(</w:t>
      </w:r>
      <w:hyperlink w:anchor="_2._CONSTITUTIONAL_RIGHTS" w:history="1">
        <w:r w:rsidR="004A1648" w:rsidRPr="001D2CC1">
          <w:rPr>
            <w:rStyle w:val="Hyperlink"/>
            <w:rFonts w:ascii="Arial" w:eastAsia="Arial" w:hAnsi="Arial" w:cs="Arial"/>
            <w:b/>
            <w:bCs/>
            <w:sz w:val="22"/>
            <w:szCs w:val="22"/>
          </w:rPr>
          <w:t>2</w:t>
        </w:r>
        <w:r w:rsidR="001E757E" w:rsidRPr="001D2CC1">
          <w:rPr>
            <w:rStyle w:val="Hyperlink"/>
            <w:rFonts w:ascii="Arial" w:eastAsia="Arial" w:hAnsi="Arial" w:cs="Arial"/>
            <w:b/>
            <w:bCs/>
            <w:sz w:val="22"/>
            <w:szCs w:val="22"/>
          </w:rPr>
          <w:t xml:space="preserve"> Case</w:t>
        </w:r>
        <w:r w:rsidR="004A1648" w:rsidRPr="001D2CC1">
          <w:rPr>
            <w:rStyle w:val="Hyperlink"/>
            <w:rFonts w:ascii="Arial" w:eastAsia="Arial" w:hAnsi="Arial" w:cs="Arial"/>
            <w:b/>
            <w:bCs/>
            <w:sz w:val="22"/>
            <w:szCs w:val="22"/>
          </w:rPr>
          <w:t>s</w:t>
        </w:r>
      </w:hyperlink>
      <w:r w:rsidR="001E757E" w:rsidRPr="001E757E">
        <w:rPr>
          <w:rFonts w:ascii="Arial" w:eastAsia="Arial" w:hAnsi="Arial" w:cs="Arial"/>
          <w:b/>
          <w:bCs/>
          <w:color w:val="C45911" w:themeColor="accent2" w:themeShade="BF"/>
          <w:sz w:val="22"/>
          <w:szCs w:val="22"/>
        </w:rPr>
        <w:t>)</w:t>
      </w:r>
    </w:p>
    <w:p w14:paraId="00000008" w14:textId="08970E54"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PREVENTING &amp; TREATING COMMUNICABLE CONDITIONS</w:t>
      </w:r>
      <w:r w:rsidR="001E757E">
        <w:rPr>
          <w:rFonts w:ascii="Arial" w:eastAsia="Arial" w:hAnsi="Arial" w:cs="Arial"/>
          <w:b/>
          <w:bCs/>
          <w:color w:val="1F3864" w:themeColor="accent1" w:themeShade="80"/>
          <w:sz w:val="22"/>
          <w:szCs w:val="22"/>
        </w:rPr>
        <w:t xml:space="preserve"> </w:t>
      </w:r>
      <w:r w:rsidR="001E757E">
        <w:rPr>
          <w:rFonts w:ascii="Arial" w:eastAsia="Arial" w:hAnsi="Arial" w:cs="Arial"/>
          <w:b/>
          <w:bCs/>
          <w:color w:val="1F3864" w:themeColor="accent1" w:themeShade="80"/>
          <w:sz w:val="22"/>
          <w:szCs w:val="22"/>
        </w:rPr>
        <w:br/>
      </w:r>
      <w:bookmarkStart w:id="1" w:name="_Hlk166496752"/>
      <w:r w:rsidR="001E757E" w:rsidRPr="001E757E">
        <w:rPr>
          <w:rFonts w:ascii="Arial" w:eastAsia="Arial" w:hAnsi="Arial" w:cs="Arial"/>
          <w:b/>
          <w:bCs/>
          <w:color w:val="C45911" w:themeColor="accent2" w:themeShade="BF"/>
          <w:sz w:val="22"/>
          <w:szCs w:val="22"/>
        </w:rPr>
        <w:t>(</w:t>
      </w:r>
      <w:hyperlink w:anchor="_3._PREVENTING_AND" w:history="1">
        <w:r w:rsidR="001E757E" w:rsidRPr="001D2CC1">
          <w:rPr>
            <w:rStyle w:val="Hyperlink"/>
            <w:rFonts w:ascii="Arial" w:eastAsia="Arial" w:hAnsi="Arial" w:cs="Arial"/>
            <w:b/>
            <w:bCs/>
            <w:sz w:val="22"/>
            <w:szCs w:val="22"/>
          </w:rPr>
          <w:t>1 Case</w:t>
        </w:r>
      </w:hyperlink>
      <w:r w:rsidR="001E757E" w:rsidRPr="001E757E">
        <w:rPr>
          <w:rFonts w:ascii="Arial" w:eastAsia="Arial" w:hAnsi="Arial" w:cs="Arial"/>
          <w:b/>
          <w:bCs/>
          <w:color w:val="C45911" w:themeColor="accent2" w:themeShade="BF"/>
          <w:sz w:val="22"/>
          <w:szCs w:val="22"/>
        </w:rPr>
        <w:t>)</w:t>
      </w:r>
      <w:bookmarkEnd w:id="1"/>
    </w:p>
    <w:p w14:paraId="00000009" w14:textId="65D65842"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SOCIAL DISTANCING MEASURES </w:t>
      </w:r>
    </w:p>
    <w:p w14:paraId="0000000A" w14:textId="4F0A5243"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ADDRESSING CHRONIC CONDITIONS </w:t>
      </w:r>
      <w:hyperlink w:anchor="_5._ADDRESSING_CHRONIC" w:history="1">
        <w:r w:rsidR="00BA03E9" w:rsidRPr="00DE7974">
          <w:rPr>
            <w:rStyle w:val="Hyperlink"/>
            <w:rFonts w:ascii="Arial" w:eastAsia="Arial" w:hAnsi="Arial" w:cs="Arial"/>
            <w:b/>
            <w:bCs/>
            <w:sz w:val="22"/>
            <w:szCs w:val="22"/>
          </w:rPr>
          <w:t>(1 Case)</w:t>
        </w:r>
      </w:hyperlink>
    </w:p>
    <w:p w14:paraId="0000000B" w14:textId="2AF71E5A"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MITIGATING THE INCIDENCE &amp; SEVERITY OF INJURIES &amp; OTHER HARMS </w:t>
      </w:r>
      <w:hyperlink w:anchor="_6._MITIGATING_THE_1" w:history="1">
        <w:r w:rsidR="001E757E" w:rsidRPr="001D2CC1">
          <w:rPr>
            <w:rStyle w:val="Hyperlink"/>
            <w:rFonts w:ascii="Arial" w:eastAsia="Arial" w:hAnsi="Arial" w:cs="Arial"/>
            <w:b/>
            <w:bCs/>
            <w:sz w:val="22"/>
            <w:szCs w:val="22"/>
          </w:rPr>
          <w:t>(1 Cas</w:t>
        </w:r>
        <w:r w:rsidR="001E757E" w:rsidRPr="001D2CC1">
          <w:rPr>
            <w:rStyle w:val="Hyperlink"/>
            <w:rFonts w:ascii="Arial" w:eastAsia="Arial" w:hAnsi="Arial" w:cs="Arial"/>
            <w:b/>
            <w:bCs/>
            <w:sz w:val="22"/>
            <w:szCs w:val="22"/>
          </w:rPr>
          <w:t>e</w:t>
        </w:r>
      </w:hyperlink>
      <w:r w:rsidR="001E757E" w:rsidRPr="001E757E">
        <w:rPr>
          <w:rFonts w:ascii="Arial" w:eastAsia="Arial" w:hAnsi="Arial" w:cs="Arial"/>
          <w:b/>
          <w:bCs/>
          <w:color w:val="C45911" w:themeColor="accent2" w:themeShade="BF"/>
          <w:sz w:val="22"/>
          <w:szCs w:val="22"/>
        </w:rPr>
        <w:t>)</w:t>
      </w:r>
    </w:p>
    <w:p w14:paraId="0000000C" w14:textId="6FA4D1BB"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PUBLIC HEALTH INFORMATION MANAGEMENT, PRIVACY &amp; SECURITY </w:t>
      </w:r>
    </w:p>
    <w:p w14:paraId="0000000D" w14:textId="42D1EFD0"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REGULATING COMMUNICATIONS</w:t>
      </w:r>
      <w:r w:rsidR="004A1648">
        <w:rPr>
          <w:rFonts w:ascii="Arial" w:eastAsia="Arial" w:hAnsi="Arial" w:cs="Arial"/>
          <w:b/>
          <w:bCs/>
          <w:color w:val="1F3864" w:themeColor="accent1" w:themeShade="80"/>
          <w:sz w:val="22"/>
          <w:szCs w:val="22"/>
        </w:rPr>
        <w:br/>
      </w:r>
      <w:r w:rsidR="004A1648" w:rsidRPr="001E757E">
        <w:rPr>
          <w:rFonts w:ascii="Arial" w:eastAsia="Arial" w:hAnsi="Arial" w:cs="Arial"/>
          <w:b/>
          <w:bCs/>
          <w:color w:val="C45911" w:themeColor="accent2" w:themeShade="BF"/>
          <w:sz w:val="22"/>
          <w:szCs w:val="22"/>
        </w:rPr>
        <w:t>(</w:t>
      </w:r>
      <w:hyperlink w:anchor="_8._REGULATING_COMMUNICATIONS" w:history="1">
        <w:r w:rsidR="00C97334">
          <w:rPr>
            <w:rStyle w:val="Hyperlink"/>
            <w:rFonts w:ascii="Arial" w:eastAsia="Arial" w:hAnsi="Arial" w:cs="Arial"/>
            <w:b/>
            <w:bCs/>
            <w:sz w:val="22"/>
            <w:szCs w:val="22"/>
          </w:rPr>
          <w:t>1</w:t>
        </w:r>
        <w:r w:rsidR="004A1648" w:rsidRPr="001D2CC1">
          <w:rPr>
            <w:rStyle w:val="Hyperlink"/>
            <w:rFonts w:ascii="Arial" w:eastAsia="Arial" w:hAnsi="Arial" w:cs="Arial"/>
            <w:b/>
            <w:bCs/>
            <w:sz w:val="22"/>
            <w:szCs w:val="22"/>
          </w:rPr>
          <w:t xml:space="preserve"> Ca</w:t>
        </w:r>
        <w:r w:rsidR="004A1648" w:rsidRPr="001D2CC1">
          <w:rPr>
            <w:rStyle w:val="Hyperlink"/>
            <w:rFonts w:ascii="Arial" w:eastAsia="Arial" w:hAnsi="Arial" w:cs="Arial"/>
            <w:b/>
            <w:bCs/>
            <w:sz w:val="22"/>
            <w:szCs w:val="22"/>
          </w:rPr>
          <w:t>s</w:t>
        </w:r>
        <w:r w:rsidR="004A1648" w:rsidRPr="001D2CC1">
          <w:rPr>
            <w:rStyle w:val="Hyperlink"/>
            <w:rFonts w:ascii="Arial" w:eastAsia="Arial" w:hAnsi="Arial" w:cs="Arial"/>
            <w:b/>
            <w:bCs/>
            <w:sz w:val="22"/>
            <w:szCs w:val="22"/>
          </w:rPr>
          <w:t>e</w:t>
        </w:r>
      </w:hyperlink>
      <w:r w:rsidR="004A1648" w:rsidRPr="001E757E">
        <w:rPr>
          <w:rFonts w:ascii="Arial" w:eastAsia="Arial" w:hAnsi="Arial" w:cs="Arial"/>
          <w:b/>
          <w:bCs/>
          <w:color w:val="C45911" w:themeColor="accent2" w:themeShade="BF"/>
          <w:sz w:val="22"/>
          <w:szCs w:val="22"/>
        </w:rPr>
        <w:t>)</w:t>
      </w:r>
    </w:p>
    <w:p w14:paraId="0000000E" w14:textId="5D4E2903"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 xml:space="preserve">MONITORING PROPERTY &amp; THE BUILT ENVIRONMENT </w:t>
      </w:r>
      <w:r w:rsidR="004A1648" w:rsidRPr="001E757E">
        <w:rPr>
          <w:rFonts w:ascii="Arial" w:eastAsia="Arial" w:hAnsi="Arial" w:cs="Arial"/>
          <w:b/>
          <w:bCs/>
          <w:color w:val="C45911" w:themeColor="accent2" w:themeShade="BF"/>
          <w:sz w:val="22"/>
          <w:szCs w:val="22"/>
        </w:rPr>
        <w:t>(</w:t>
      </w:r>
      <w:hyperlink w:anchor="_9._MONITORING_PROPERTY" w:history="1">
        <w:r w:rsidR="004A1648" w:rsidRPr="001D2CC1">
          <w:rPr>
            <w:rStyle w:val="Hyperlink"/>
            <w:rFonts w:ascii="Arial" w:eastAsia="Arial" w:hAnsi="Arial" w:cs="Arial"/>
            <w:b/>
            <w:bCs/>
            <w:sz w:val="22"/>
            <w:szCs w:val="22"/>
          </w:rPr>
          <w:t>1 C</w:t>
        </w:r>
        <w:r w:rsidR="004A1648" w:rsidRPr="001D2CC1">
          <w:rPr>
            <w:rStyle w:val="Hyperlink"/>
            <w:rFonts w:ascii="Arial" w:eastAsia="Arial" w:hAnsi="Arial" w:cs="Arial"/>
            <w:b/>
            <w:bCs/>
            <w:sz w:val="22"/>
            <w:szCs w:val="22"/>
          </w:rPr>
          <w:t>a</w:t>
        </w:r>
        <w:r w:rsidR="004A1648" w:rsidRPr="001D2CC1">
          <w:rPr>
            <w:rStyle w:val="Hyperlink"/>
            <w:rFonts w:ascii="Arial" w:eastAsia="Arial" w:hAnsi="Arial" w:cs="Arial"/>
            <w:b/>
            <w:bCs/>
            <w:sz w:val="22"/>
            <w:szCs w:val="22"/>
          </w:rPr>
          <w:t>se</w:t>
        </w:r>
      </w:hyperlink>
      <w:r w:rsidR="004A1648" w:rsidRPr="001E757E">
        <w:rPr>
          <w:rFonts w:ascii="Arial" w:eastAsia="Arial" w:hAnsi="Arial" w:cs="Arial"/>
          <w:b/>
          <w:bCs/>
          <w:color w:val="C45911" w:themeColor="accent2" w:themeShade="BF"/>
          <w:sz w:val="22"/>
          <w:szCs w:val="22"/>
        </w:rPr>
        <w:t>)</w:t>
      </w:r>
    </w:p>
    <w:p w14:paraId="0000000F" w14:textId="3104555B" w:rsidR="002D38CF" w:rsidRPr="00AD0E57" w:rsidRDefault="00AC7C41">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eastAsia="Arial" w:hAnsi="Arial" w:cs="Arial"/>
          <w:b/>
          <w:bCs/>
          <w:color w:val="1F3864" w:themeColor="accent1" w:themeShade="80"/>
          <w:sz w:val="22"/>
          <w:szCs w:val="22"/>
        </w:rPr>
        <w:t>PUBLIC HEALTH EMERGENCY: LEGAL PREPAREDNESS &amp; RESPONSE</w:t>
      </w:r>
      <w:r w:rsidR="00F02A55">
        <w:rPr>
          <w:rFonts w:ascii="Arial" w:eastAsia="Arial" w:hAnsi="Arial" w:cs="Arial"/>
          <w:b/>
          <w:bCs/>
          <w:color w:val="1F3864" w:themeColor="accent1" w:themeShade="80"/>
          <w:sz w:val="22"/>
          <w:szCs w:val="22"/>
        </w:rPr>
        <w:t xml:space="preserve"> </w:t>
      </w:r>
    </w:p>
    <w:p w14:paraId="00000010" w14:textId="3EE11796" w:rsidR="002D38CF" w:rsidRPr="00AD0E57" w:rsidRDefault="00E05A89">
      <w:pPr>
        <w:numPr>
          <w:ilvl w:val="0"/>
          <w:numId w:val="1"/>
        </w:numPr>
        <w:pBdr>
          <w:top w:val="nil"/>
          <w:left w:val="nil"/>
          <w:bottom w:val="nil"/>
          <w:right w:val="nil"/>
          <w:between w:val="nil"/>
        </w:pBdr>
        <w:rPr>
          <w:rFonts w:ascii="Arial" w:eastAsia="Arial" w:hAnsi="Arial" w:cs="Arial"/>
          <w:b/>
          <w:bCs/>
          <w:color w:val="1F3864" w:themeColor="accent1" w:themeShade="80"/>
          <w:sz w:val="22"/>
          <w:szCs w:val="22"/>
        </w:rPr>
      </w:pPr>
      <w:r w:rsidRPr="00AD0E57">
        <w:rPr>
          <w:rFonts w:ascii="Arial" w:hAnsi="Arial" w:cs="Arial"/>
          <w:b/>
          <w:bCs/>
          <w:color w:val="1F3864" w:themeColor="accent1" w:themeShade="80"/>
          <w:sz w:val="22"/>
          <w:szCs w:val="22"/>
        </w:rPr>
        <w:t>REPRODUCTIVE LIBERTIES &amp; CARE ACCESS</w:t>
      </w:r>
      <w:r w:rsidR="00AC7C41" w:rsidRPr="00AD0E57">
        <w:rPr>
          <w:rFonts w:ascii="Arial" w:eastAsia="Arial" w:hAnsi="Arial" w:cs="Arial"/>
          <w:b/>
          <w:bCs/>
          <w:color w:val="1F3864" w:themeColor="accent1" w:themeShade="80"/>
          <w:sz w:val="22"/>
          <w:szCs w:val="22"/>
        </w:rPr>
        <w:t xml:space="preserve"> </w:t>
      </w:r>
      <w:r w:rsidR="00F02A55" w:rsidRPr="001E757E">
        <w:rPr>
          <w:rFonts w:ascii="Arial" w:eastAsia="Arial" w:hAnsi="Arial" w:cs="Arial"/>
          <w:b/>
          <w:bCs/>
          <w:color w:val="C45911" w:themeColor="accent2" w:themeShade="BF"/>
          <w:sz w:val="22"/>
          <w:szCs w:val="22"/>
        </w:rPr>
        <w:t>(</w:t>
      </w:r>
      <w:hyperlink w:anchor="_11._REPRODUCTIVE_LIBERTIES" w:history="1">
        <w:r w:rsidR="00077D16" w:rsidRPr="001D2CC1">
          <w:rPr>
            <w:rStyle w:val="Hyperlink"/>
            <w:rFonts w:ascii="Arial" w:eastAsia="Arial" w:hAnsi="Arial" w:cs="Arial"/>
            <w:b/>
            <w:bCs/>
            <w:sz w:val="22"/>
            <w:szCs w:val="22"/>
          </w:rPr>
          <w:t>1</w:t>
        </w:r>
        <w:r w:rsidR="00F02A55" w:rsidRPr="001D2CC1">
          <w:rPr>
            <w:rStyle w:val="Hyperlink"/>
            <w:rFonts w:ascii="Arial" w:eastAsia="Arial" w:hAnsi="Arial" w:cs="Arial"/>
            <w:b/>
            <w:bCs/>
            <w:sz w:val="22"/>
            <w:szCs w:val="22"/>
          </w:rPr>
          <w:t xml:space="preserve"> Case</w:t>
        </w:r>
      </w:hyperlink>
      <w:r w:rsidR="00F02A55" w:rsidRPr="001E757E">
        <w:rPr>
          <w:rFonts w:ascii="Arial" w:eastAsia="Arial" w:hAnsi="Arial" w:cs="Arial"/>
          <w:b/>
          <w:bCs/>
          <w:color w:val="C45911" w:themeColor="accent2" w:themeShade="BF"/>
          <w:sz w:val="22"/>
          <w:szCs w:val="22"/>
        </w:rPr>
        <w:t>)</w:t>
      </w:r>
    </w:p>
    <w:p w14:paraId="00000011" w14:textId="77777777" w:rsidR="002D38CF" w:rsidRDefault="00AC7C41">
      <w:pPr>
        <w:pBdr>
          <w:top w:val="nil"/>
          <w:left w:val="nil"/>
          <w:bottom w:val="nil"/>
          <w:right w:val="nil"/>
          <w:between w:val="nil"/>
        </w:pBdr>
        <w:rPr>
          <w:rFonts w:ascii="Arial" w:eastAsia="Arial" w:hAnsi="Arial" w:cs="Arial"/>
          <w:color w:val="000000"/>
          <w:sz w:val="22"/>
          <w:szCs w:val="22"/>
        </w:rPr>
        <w:sectPr w:rsidR="002D38CF">
          <w:type w:val="continuous"/>
          <w:pgSz w:w="12240" w:h="15840"/>
          <w:pgMar w:top="1440" w:right="1080" w:bottom="1440" w:left="1080" w:header="720" w:footer="720" w:gutter="0"/>
          <w:cols w:num="2" w:space="720" w:equalWidth="0">
            <w:col w:w="4680" w:space="720"/>
            <w:col w:w="4680" w:space="0"/>
          </w:cols>
          <w:titlePg/>
        </w:sectPr>
      </w:pPr>
      <w:r>
        <w:rPr>
          <w:rFonts w:ascii="Arial" w:eastAsia="Arial" w:hAnsi="Arial" w:cs="Arial"/>
          <w:color w:val="000000"/>
          <w:sz w:val="22"/>
          <w:szCs w:val="22"/>
        </w:rPr>
        <w:t xml:space="preserve"> </w:t>
      </w:r>
    </w:p>
    <w:p w14:paraId="00000012" w14:textId="77777777" w:rsidR="002D38CF" w:rsidRDefault="002D38CF">
      <w:pPr>
        <w:rPr>
          <w:rFonts w:ascii="Arial" w:eastAsia="Arial" w:hAnsi="Arial" w:cs="Arial"/>
          <w:b/>
          <w:color w:val="000000"/>
          <w:sz w:val="22"/>
          <w:szCs w:val="22"/>
        </w:rPr>
      </w:pPr>
    </w:p>
    <w:p w14:paraId="4DD6975D" w14:textId="2907DFF8" w:rsidR="003613BF" w:rsidRPr="004C5239" w:rsidRDefault="004C5239" w:rsidP="004C5239">
      <w:pPr>
        <w:pStyle w:val="Heading1"/>
        <w:rPr>
          <w:rFonts w:eastAsia="Arial"/>
        </w:rPr>
      </w:pPr>
      <w:bookmarkStart w:id="2" w:name="_heading=h.tu0szbl5ulu0" w:colFirst="0" w:colLast="0"/>
      <w:bookmarkStart w:id="3" w:name="_1._SOURCE_AND"/>
      <w:bookmarkEnd w:id="2"/>
      <w:bookmarkEnd w:id="3"/>
      <w:r w:rsidRPr="004C5239">
        <w:rPr>
          <w:rFonts w:eastAsia="Arial"/>
          <w:b w:val="0"/>
          <w:bCs w:val="0"/>
        </w:rPr>
        <w:t>1.</w:t>
      </w:r>
      <w:r>
        <w:rPr>
          <w:rFonts w:eastAsia="Arial"/>
        </w:rPr>
        <w:t xml:space="preserve"> </w:t>
      </w:r>
      <w:r w:rsidR="00AC7C41" w:rsidRPr="004C5239">
        <w:rPr>
          <w:rFonts w:eastAsia="Arial"/>
        </w:rPr>
        <w:t xml:space="preserve">SOURCE </w:t>
      </w:r>
      <w:r w:rsidR="00AD0E57" w:rsidRPr="004C5239">
        <w:rPr>
          <w:rFonts w:eastAsia="Arial"/>
        </w:rPr>
        <w:t>AND</w:t>
      </w:r>
      <w:r w:rsidR="00AC7C41" w:rsidRPr="004C5239">
        <w:rPr>
          <w:rFonts w:eastAsia="Arial"/>
        </w:rPr>
        <w:t xml:space="preserve"> SCOPE OF PUBLIC HEALTH LEGAL POWERS</w:t>
      </w:r>
    </w:p>
    <w:p w14:paraId="523E996C" w14:textId="5E52EDA2" w:rsidR="00A52D6A" w:rsidRPr="00F9324B" w:rsidRDefault="004C5239" w:rsidP="004C5239">
      <w:pPr>
        <w:pStyle w:val="Heading1"/>
      </w:pPr>
      <w:bookmarkStart w:id="4" w:name="_2._CONSTITUTIONAL_RIGHTS"/>
      <w:bookmarkEnd w:id="4"/>
      <w:r>
        <w:rPr>
          <w:rFonts w:eastAsia="Arial"/>
        </w:rPr>
        <w:t xml:space="preserve">2. </w:t>
      </w:r>
      <w:r w:rsidR="00AC7C41" w:rsidRPr="00F9324B">
        <w:rPr>
          <w:rFonts w:eastAsia="Arial"/>
        </w:rPr>
        <w:t xml:space="preserve">CONSTITUTIONAL RIGHTS </w:t>
      </w:r>
      <w:r w:rsidR="00F9324B" w:rsidRPr="00F9324B">
        <w:rPr>
          <w:rFonts w:eastAsia="Arial"/>
        </w:rPr>
        <w:t>AND</w:t>
      </w:r>
      <w:r w:rsidR="00AC7C41" w:rsidRPr="00F9324B">
        <w:rPr>
          <w:rFonts w:eastAsia="Arial"/>
        </w:rPr>
        <w:t xml:space="preserve"> THE PUBLIC’S HEALTH</w:t>
      </w:r>
      <w:bookmarkStart w:id="5" w:name="_heading=h.jr5m6ikjr9om" w:colFirst="0" w:colLast="0"/>
      <w:bookmarkStart w:id="6" w:name="_heading=h.69u2332nssg6" w:colFirst="0" w:colLast="0"/>
      <w:bookmarkStart w:id="7" w:name="_heading=h.bucu7xoomvng" w:colFirst="0" w:colLast="0"/>
      <w:bookmarkEnd w:id="5"/>
      <w:bookmarkEnd w:id="6"/>
      <w:bookmarkEnd w:id="7"/>
    </w:p>
    <w:p w14:paraId="3EB3D369" w14:textId="75377019" w:rsidR="004A1648" w:rsidRDefault="008777BA" w:rsidP="004A1648">
      <w:pPr>
        <w:spacing w:line="259" w:lineRule="auto"/>
        <w:ind w:left="360"/>
        <w:jc w:val="both"/>
        <w:rPr>
          <w:rFonts w:ascii="Arial" w:eastAsia="Arial" w:hAnsi="Arial" w:cs="Arial"/>
          <w:sz w:val="22"/>
          <w:szCs w:val="22"/>
        </w:rPr>
      </w:pPr>
      <w:r w:rsidRPr="008777BA">
        <w:rPr>
          <w:rFonts w:ascii="Arial" w:eastAsia="Arial" w:hAnsi="Arial" w:cs="Arial"/>
          <w:b/>
          <w:bCs/>
          <w:i/>
          <w:iCs/>
          <w:color w:val="ED7D31" w:themeColor="accent2"/>
          <w:sz w:val="22"/>
          <w:szCs w:val="22"/>
        </w:rPr>
        <w:t xml:space="preserve">Ocean State Tactical, LLC, et al. v. State of Rhode Island </w:t>
      </w:r>
      <w:r w:rsidR="008A2815" w:rsidRPr="008A2815">
        <w:rPr>
          <w:rFonts w:ascii="Arial" w:eastAsia="Arial" w:hAnsi="Arial" w:cs="Arial"/>
          <w:sz w:val="22"/>
          <w:szCs w:val="22"/>
        </w:rPr>
        <w:t xml:space="preserve">(U.S. Court of Appeals for the 1st Circuit, March 7, 2024): The First Circuit Court of Appeals rejected a Second Amendment challenge to a Rhode Island law banning the sale of large-capacity magazines (LCM). The Court first assumed without deciding that LCMs are “arms” covered by the Second Amendment. The Court then applied the Bruen test of whether the LCM ban is “consistent with this Nation's historical tradition of firearm regulation." Finding that there could not be a historical tradition of regulating LCMs because they are relatively modern, the Court looked for an historical analogue, a relevantly similar historical regulation to the LCM ban. The court found the history of regulating arms that are not commonly used in self-defense and present a threat to public safety, like sawed-off shotguns, is an analogue for the LCM ban because LCMs are similarly rarely used in self-defense and present a risk to public safety. With the ban passing the historical analogue test, the Court examined the impact of the ban, concluding </w:t>
      </w:r>
      <w:r w:rsidR="008A2815" w:rsidRPr="008A2815">
        <w:rPr>
          <w:rFonts w:ascii="Arial" w:eastAsia="Arial" w:hAnsi="Arial" w:cs="Arial"/>
          <w:sz w:val="22"/>
          <w:szCs w:val="22"/>
        </w:rPr>
        <w:lastRenderedPageBreak/>
        <w:t xml:space="preserve">that the LCM ban does not impose a significant burden on the right to armed self-defense because it does not prevent gun owners from owning other forms of weaponry or ammunition for self-defense. As a result, the ban was upheld. </w:t>
      </w:r>
      <w:hyperlink r:id="rId11" w:history="1">
        <w:r w:rsidR="008A2815" w:rsidRPr="000E3FA3">
          <w:rPr>
            <w:rStyle w:val="Hyperlink"/>
            <w:rFonts w:ascii="Arial" w:eastAsia="Arial" w:hAnsi="Arial" w:cs="Arial"/>
            <w:sz w:val="22"/>
            <w:szCs w:val="22"/>
          </w:rPr>
          <w:t>Read the full decision here</w:t>
        </w:r>
      </w:hyperlink>
      <w:r w:rsidR="008A2815" w:rsidRPr="008A2815">
        <w:rPr>
          <w:rFonts w:ascii="Arial" w:eastAsia="Arial" w:hAnsi="Arial" w:cs="Arial"/>
          <w:sz w:val="22"/>
          <w:szCs w:val="22"/>
        </w:rPr>
        <w:t>.</w:t>
      </w:r>
    </w:p>
    <w:p w14:paraId="27C90E6C" w14:textId="77777777" w:rsidR="00773744" w:rsidRDefault="00773744" w:rsidP="004A1648">
      <w:pPr>
        <w:spacing w:line="259" w:lineRule="auto"/>
        <w:ind w:left="360"/>
        <w:jc w:val="both"/>
        <w:rPr>
          <w:rFonts w:ascii="Arial" w:eastAsia="Arial" w:hAnsi="Arial" w:cs="Arial"/>
          <w:sz w:val="22"/>
          <w:szCs w:val="22"/>
        </w:rPr>
      </w:pPr>
    </w:p>
    <w:p w14:paraId="13C23C3D" w14:textId="7A48AADA" w:rsidR="004A1648" w:rsidRDefault="00197BA7" w:rsidP="004A1648">
      <w:pPr>
        <w:spacing w:line="259" w:lineRule="auto"/>
        <w:ind w:left="360"/>
        <w:jc w:val="both"/>
        <w:rPr>
          <w:rFonts w:ascii="Arial" w:eastAsia="Arial" w:hAnsi="Arial" w:cs="Arial"/>
          <w:sz w:val="22"/>
          <w:szCs w:val="22"/>
        </w:rPr>
      </w:pPr>
      <w:r w:rsidRPr="00197BA7">
        <w:rPr>
          <w:rFonts w:ascii="Arial" w:eastAsia="Arial" w:hAnsi="Arial" w:cs="Arial"/>
          <w:b/>
          <w:bCs/>
          <w:i/>
          <w:iCs/>
          <w:color w:val="ED7D31" w:themeColor="accent2"/>
          <w:sz w:val="22"/>
          <w:szCs w:val="22"/>
        </w:rPr>
        <w:t xml:space="preserve">Kadel, et al. v. Folwell, et al. </w:t>
      </w:r>
      <w:bookmarkStart w:id="8" w:name="_heading=h.11lkq9shcnn8" w:colFirst="0" w:colLast="0"/>
      <w:bookmarkStart w:id="9" w:name="_3._PREVENTING_AND"/>
      <w:bookmarkEnd w:id="8"/>
      <w:bookmarkEnd w:id="9"/>
      <w:r w:rsidR="00552377" w:rsidRPr="00552377">
        <w:rPr>
          <w:rFonts w:ascii="Arial" w:eastAsia="Arial" w:hAnsi="Arial" w:cs="Arial"/>
          <w:sz w:val="22"/>
          <w:szCs w:val="22"/>
        </w:rPr>
        <w:t xml:space="preserve">(U.S. Court of Appeals for the 4th Circuit, April 29, 2024): The Fourth Circuit Court of Appeals found that state Medicaid programs that deny coverage for certain gender-affirming care are violating the Equal Protection Clause of the U.S. Constitution and federal statutes. Medicaid programs in North Carolina and West Virginia refuse to cover gender-affirming care, including mastectomy and hormone therapy, despite covering that same care for other purposes, such as breast cancer or menopause management. The Fourth Circuit held that these programs discriminate </w:t>
      </w:r>
      <w:proofErr w:type="gramStart"/>
      <w:r w:rsidR="00552377" w:rsidRPr="00552377">
        <w:rPr>
          <w:rFonts w:ascii="Arial" w:eastAsia="Arial" w:hAnsi="Arial" w:cs="Arial"/>
          <w:sz w:val="22"/>
          <w:szCs w:val="22"/>
        </w:rPr>
        <w:t>on the basis of</w:t>
      </w:r>
      <w:proofErr w:type="gramEnd"/>
      <w:r w:rsidR="00552377" w:rsidRPr="00552377">
        <w:rPr>
          <w:rFonts w:ascii="Arial" w:eastAsia="Arial" w:hAnsi="Arial" w:cs="Arial"/>
          <w:sz w:val="22"/>
          <w:szCs w:val="22"/>
        </w:rPr>
        <w:t xml:space="preserve"> gender identity and sex in violation of the Equal Protection Clause. The programs also violate the anti-discrimination provisions of the Affordable Care Act as well as certain provisions of the Medicaid Act. As a result, the North Carolina and West Virginia programs must cover gender-affirming care consistent with coverage of that care for other purposes. </w:t>
      </w:r>
      <w:hyperlink r:id="rId12" w:history="1">
        <w:r w:rsidR="00552377" w:rsidRPr="001A455B">
          <w:rPr>
            <w:rStyle w:val="Hyperlink"/>
            <w:rFonts w:ascii="Arial" w:eastAsia="Arial" w:hAnsi="Arial" w:cs="Arial"/>
            <w:sz w:val="22"/>
            <w:szCs w:val="22"/>
          </w:rPr>
          <w:t>Read the full decision here</w:t>
        </w:r>
      </w:hyperlink>
      <w:r w:rsidR="00552377" w:rsidRPr="00552377">
        <w:rPr>
          <w:rFonts w:ascii="Arial" w:eastAsia="Arial" w:hAnsi="Arial" w:cs="Arial"/>
          <w:sz w:val="22"/>
          <w:szCs w:val="22"/>
        </w:rPr>
        <w:t>.</w:t>
      </w:r>
    </w:p>
    <w:p w14:paraId="517EB066" w14:textId="77777777" w:rsidR="00552377" w:rsidRDefault="00552377" w:rsidP="004A1648">
      <w:pPr>
        <w:spacing w:line="259" w:lineRule="auto"/>
        <w:ind w:left="360"/>
        <w:jc w:val="both"/>
        <w:rPr>
          <w:rFonts w:ascii="Arial" w:eastAsia="Arial" w:hAnsi="Arial" w:cs="Arial"/>
          <w:sz w:val="22"/>
          <w:szCs w:val="22"/>
        </w:rPr>
      </w:pPr>
    </w:p>
    <w:p w14:paraId="34668CDD" w14:textId="5C1EAD02" w:rsidR="001E757E" w:rsidRPr="001E757E" w:rsidRDefault="004C5239" w:rsidP="004C5239">
      <w:pPr>
        <w:pStyle w:val="Heading1"/>
        <w:rPr>
          <w:rFonts w:cs="Arial"/>
          <w:sz w:val="22"/>
          <w:szCs w:val="22"/>
        </w:rPr>
      </w:pPr>
      <w:r>
        <w:rPr>
          <w:rFonts w:eastAsia="Arial"/>
        </w:rPr>
        <w:t xml:space="preserve">3. </w:t>
      </w:r>
      <w:r w:rsidR="00AC7C41" w:rsidRPr="00F9324B">
        <w:rPr>
          <w:rFonts w:eastAsia="Arial"/>
        </w:rPr>
        <w:t xml:space="preserve">PREVENTING </w:t>
      </w:r>
      <w:r w:rsidR="00F9324B" w:rsidRPr="00F9324B">
        <w:rPr>
          <w:rFonts w:eastAsia="Arial"/>
        </w:rPr>
        <w:t>AND</w:t>
      </w:r>
      <w:r w:rsidR="00AC7C41" w:rsidRPr="00F9324B">
        <w:rPr>
          <w:rFonts w:eastAsia="Arial"/>
        </w:rPr>
        <w:t xml:space="preserve"> TREATING COMMUNICABLE CONDITIONS</w:t>
      </w:r>
      <w:bookmarkStart w:id="10" w:name="_heading=h.eukzqgtgkczl" w:colFirst="0" w:colLast="0"/>
      <w:bookmarkStart w:id="11" w:name="_heading=h.jjuiau2obwqk" w:colFirst="0" w:colLast="0"/>
      <w:bookmarkEnd w:id="10"/>
      <w:bookmarkEnd w:id="11"/>
      <w:r w:rsidR="001E757E" w:rsidRPr="001E757E">
        <w:rPr>
          <w:rFonts w:cs="Arial"/>
          <w:color w:val="292C2F"/>
          <w:sz w:val="22"/>
          <w:szCs w:val="22"/>
        </w:rPr>
        <w:t xml:space="preserve"> </w:t>
      </w:r>
    </w:p>
    <w:p w14:paraId="04CF7376" w14:textId="07BBBF5B" w:rsidR="001E757E" w:rsidRPr="001E757E" w:rsidRDefault="009B4CE4" w:rsidP="001E757E">
      <w:pPr>
        <w:pBdr>
          <w:top w:val="nil"/>
          <w:left w:val="nil"/>
          <w:bottom w:val="nil"/>
          <w:right w:val="nil"/>
          <w:between w:val="nil"/>
        </w:pBdr>
        <w:spacing w:line="259" w:lineRule="auto"/>
        <w:ind w:left="360"/>
        <w:jc w:val="both"/>
        <w:rPr>
          <w:rFonts w:ascii="Arial" w:eastAsia="Arial" w:hAnsi="Arial" w:cs="Arial"/>
          <w:sz w:val="22"/>
          <w:szCs w:val="22"/>
        </w:rPr>
      </w:pPr>
      <w:r w:rsidRPr="009B4CE4">
        <w:rPr>
          <w:rFonts w:ascii="Arial" w:eastAsia="Arial" w:hAnsi="Arial" w:cs="Arial"/>
          <w:b/>
          <w:i/>
          <w:iCs/>
          <w:color w:val="ED7D31" w:themeColor="accent2"/>
          <w:sz w:val="22"/>
          <w:szCs w:val="22"/>
        </w:rPr>
        <w:t xml:space="preserve">In Re: Gardasil Products Liability Litigation </w:t>
      </w:r>
      <w:r w:rsidR="00A85E07" w:rsidRPr="00A85E07">
        <w:rPr>
          <w:rFonts w:ascii="Arial" w:eastAsia="Arial" w:hAnsi="Arial" w:cs="Arial"/>
          <w:bCs/>
          <w:sz w:val="22"/>
          <w:szCs w:val="22"/>
        </w:rPr>
        <w:t xml:space="preserve">(U.S. District Court for the Western District of N.C., March 20, 2024): More than 140 cases against Merck, the maker of the HPV vaccine Gardasil, have been consolidated in the federal district court for the Western District of North Carolina as multi-district litigation (MDL). In two test cases in the MDL, Merck filed a motion to dismiss almost all claims, arguing that they are barred by the National Childhood Vaccine Injury Act, which protects manufacturers from product liability claims as an incentive to produce vaccines. The Court granted the motion in large part--dismissing claims of manufacturing and design defect, failure to warn patients and the public, and negligence--and allowing only claims of failure to warn medical providers </w:t>
      </w:r>
      <w:bookmarkStart w:id="12" w:name="_Hlk166496621"/>
      <w:r w:rsidR="00A85E07" w:rsidRPr="00A85E07">
        <w:rPr>
          <w:rFonts w:ascii="Arial" w:eastAsia="Arial" w:hAnsi="Arial" w:cs="Arial"/>
          <w:bCs/>
          <w:sz w:val="22"/>
          <w:szCs w:val="22"/>
        </w:rPr>
        <w:t xml:space="preserve">and fraudulent concealment vis-à-vis medical providers to proceed. These legal findings impact all </w:t>
      </w:r>
      <w:bookmarkEnd w:id="12"/>
      <w:r w:rsidR="00A85E07" w:rsidRPr="00A85E07">
        <w:rPr>
          <w:rFonts w:ascii="Arial" w:eastAsia="Arial" w:hAnsi="Arial" w:cs="Arial"/>
          <w:bCs/>
          <w:sz w:val="22"/>
          <w:szCs w:val="22"/>
        </w:rPr>
        <w:t xml:space="preserve">plaintiffs in the MDL and severely reduce the pending claims against Merck. </w:t>
      </w:r>
      <w:hyperlink r:id="rId13" w:history="1">
        <w:r w:rsidR="00A85E07" w:rsidRPr="00312FD4">
          <w:rPr>
            <w:rStyle w:val="Hyperlink"/>
            <w:rFonts w:ascii="Arial" w:eastAsia="Arial" w:hAnsi="Arial" w:cs="Arial"/>
            <w:bCs/>
            <w:sz w:val="22"/>
            <w:szCs w:val="22"/>
          </w:rPr>
          <w:t>Read the full order here</w:t>
        </w:r>
      </w:hyperlink>
      <w:r w:rsidR="00A85E07" w:rsidRPr="00A85E07">
        <w:rPr>
          <w:rFonts w:ascii="Arial" w:eastAsia="Arial" w:hAnsi="Arial" w:cs="Arial"/>
          <w:bCs/>
          <w:sz w:val="22"/>
          <w:szCs w:val="22"/>
        </w:rPr>
        <w:t>.</w:t>
      </w:r>
    </w:p>
    <w:p w14:paraId="00000034" w14:textId="0D80A040" w:rsidR="002D38CF" w:rsidRPr="00F9324B" w:rsidRDefault="004C5239" w:rsidP="004C5239">
      <w:pPr>
        <w:pStyle w:val="Heading1"/>
        <w:rPr>
          <w:rFonts w:eastAsia="Arial"/>
        </w:rPr>
      </w:pPr>
      <w:bookmarkStart w:id="13" w:name="_heading=h.hc0fmflqli29" w:colFirst="0" w:colLast="0"/>
      <w:bookmarkEnd w:id="13"/>
      <w:r>
        <w:rPr>
          <w:rFonts w:eastAsia="Arial"/>
        </w:rPr>
        <w:t xml:space="preserve">4. </w:t>
      </w:r>
      <w:r w:rsidR="00AC7C41" w:rsidRPr="00F9324B">
        <w:rPr>
          <w:rFonts w:eastAsia="Arial"/>
        </w:rPr>
        <w:t>SOCIAL DISTANCING MEASURES</w:t>
      </w:r>
    </w:p>
    <w:p w14:paraId="00000035" w14:textId="2C6188E1" w:rsidR="002D38CF" w:rsidRDefault="004C5239" w:rsidP="004C5239">
      <w:pPr>
        <w:pStyle w:val="Heading1"/>
        <w:rPr>
          <w:rFonts w:eastAsia="Arial"/>
        </w:rPr>
      </w:pPr>
      <w:bookmarkStart w:id="14" w:name="_5._ADDRESSING_CHRONIC"/>
      <w:bookmarkEnd w:id="14"/>
      <w:r>
        <w:rPr>
          <w:rFonts w:eastAsia="Arial"/>
        </w:rPr>
        <w:t xml:space="preserve">5. </w:t>
      </w:r>
      <w:r w:rsidR="00AC7C41" w:rsidRPr="00F9324B">
        <w:rPr>
          <w:rFonts w:eastAsia="Arial"/>
        </w:rPr>
        <w:t>ADDRESSING CHRONIC CONDITIONS</w:t>
      </w:r>
    </w:p>
    <w:p w14:paraId="7C869FF1" w14:textId="70C761BE" w:rsidR="000429C7" w:rsidRDefault="00A3429F" w:rsidP="000429C7">
      <w:pPr>
        <w:pBdr>
          <w:top w:val="nil"/>
          <w:left w:val="nil"/>
          <w:bottom w:val="nil"/>
          <w:right w:val="nil"/>
          <w:between w:val="nil"/>
        </w:pBdr>
        <w:spacing w:line="259" w:lineRule="auto"/>
        <w:ind w:left="360"/>
        <w:jc w:val="both"/>
        <w:rPr>
          <w:rFonts w:ascii="Arial" w:eastAsia="Arial" w:hAnsi="Arial" w:cs="Arial"/>
          <w:bCs/>
          <w:sz w:val="22"/>
          <w:szCs w:val="22"/>
        </w:rPr>
      </w:pPr>
      <w:r w:rsidRPr="00A3429F">
        <w:rPr>
          <w:rFonts w:ascii="Arial" w:eastAsia="Arial" w:hAnsi="Arial" w:cs="Arial"/>
          <w:b/>
          <w:i/>
          <w:iCs/>
          <w:color w:val="ED7D31" w:themeColor="accent2"/>
          <w:sz w:val="22"/>
          <w:szCs w:val="22"/>
        </w:rPr>
        <w:t>Six Brothers, Inc., et al. v. Town of Brookline</w:t>
      </w:r>
      <w:r w:rsidRPr="00A3429F">
        <w:rPr>
          <w:rFonts w:ascii="Arial" w:eastAsia="Arial" w:hAnsi="Arial" w:cs="Arial"/>
          <w:b/>
          <w:i/>
          <w:iCs/>
          <w:color w:val="ED7D31" w:themeColor="accent2"/>
          <w:sz w:val="22"/>
          <w:szCs w:val="22"/>
        </w:rPr>
        <w:t xml:space="preserve"> </w:t>
      </w:r>
      <w:bookmarkStart w:id="15" w:name="_heading=h.wh6obssqhzvc" w:colFirst="0" w:colLast="0"/>
      <w:bookmarkStart w:id="16" w:name="_heading=h.4bgw5ryy8y3t" w:colFirst="0" w:colLast="0"/>
      <w:bookmarkStart w:id="17" w:name="_6._MITIGATING_THE"/>
      <w:bookmarkEnd w:id="15"/>
      <w:bookmarkEnd w:id="16"/>
      <w:bookmarkEnd w:id="17"/>
      <w:r w:rsidR="0000546C" w:rsidRPr="0000546C">
        <w:rPr>
          <w:rFonts w:ascii="Arial" w:eastAsia="Arial" w:hAnsi="Arial" w:cs="Arial"/>
          <w:bCs/>
          <w:sz w:val="22"/>
          <w:szCs w:val="22"/>
        </w:rPr>
        <w:t xml:space="preserve">(Massachusetts Supreme Judicial Court, March 8, 2024): The highest court in Massachusetts upheld a local law that prohibits the sale of tobacco products to anyone not yet age 21 as of the effective date of the law, a so-called Tobacco-Free Generation law. Retailers challenged the local law arguing that the state law establishing 21 as the age of access to tobacco products preempts local laws regulating tobacco sales by age. The Court rejected that argument, finding no conflict between the local and state laws. Retailers also argued that the local law violates the Equal Protection Clause of the Massachusetts Declaration of Rights. The Court rejected this argument because the prohibition on tobacco sales to a new generation is rationally related to the Town’s legitimate interest in public health. The Court noted that the Tobacco-Free Generation provision falls short of a complete ban on the sale of tobacco products. Now at least four Massachusetts towns have passed Tobacco-Free Generation laws, and more are pending. </w:t>
      </w:r>
      <w:hyperlink r:id="rId14" w:history="1">
        <w:r w:rsidR="0000546C" w:rsidRPr="00BA03E9">
          <w:rPr>
            <w:rStyle w:val="Hyperlink"/>
            <w:rFonts w:ascii="Arial" w:eastAsia="Arial" w:hAnsi="Arial" w:cs="Arial"/>
            <w:bCs/>
            <w:sz w:val="22"/>
            <w:szCs w:val="22"/>
          </w:rPr>
          <w:t>Read the full decision here</w:t>
        </w:r>
      </w:hyperlink>
      <w:r w:rsidR="0000546C" w:rsidRPr="0000546C">
        <w:rPr>
          <w:rFonts w:ascii="Arial" w:eastAsia="Arial" w:hAnsi="Arial" w:cs="Arial"/>
          <w:bCs/>
          <w:sz w:val="22"/>
          <w:szCs w:val="22"/>
        </w:rPr>
        <w:t>.</w:t>
      </w:r>
    </w:p>
    <w:p w14:paraId="42F0F82E" w14:textId="77777777" w:rsidR="0000546C" w:rsidRPr="001E757E" w:rsidRDefault="0000546C" w:rsidP="000429C7">
      <w:pPr>
        <w:pBdr>
          <w:top w:val="nil"/>
          <w:left w:val="nil"/>
          <w:bottom w:val="nil"/>
          <w:right w:val="nil"/>
          <w:between w:val="nil"/>
        </w:pBdr>
        <w:spacing w:line="259" w:lineRule="auto"/>
        <w:ind w:left="360"/>
        <w:jc w:val="both"/>
        <w:rPr>
          <w:rFonts w:ascii="Arial" w:eastAsia="Arial" w:hAnsi="Arial" w:cs="Arial"/>
          <w:sz w:val="22"/>
          <w:szCs w:val="22"/>
        </w:rPr>
      </w:pPr>
    </w:p>
    <w:p w14:paraId="4FCF80B7" w14:textId="4F55E4AA" w:rsidR="00E05A89" w:rsidRPr="00F9324B" w:rsidRDefault="004C5239" w:rsidP="004C5239">
      <w:pPr>
        <w:pStyle w:val="Heading1"/>
        <w:rPr>
          <w:rFonts w:eastAsia="Arial"/>
        </w:rPr>
      </w:pPr>
      <w:bookmarkStart w:id="18" w:name="_6._MITIGATING_THE_1"/>
      <w:bookmarkEnd w:id="18"/>
      <w:r>
        <w:rPr>
          <w:rFonts w:eastAsia="Arial"/>
        </w:rPr>
        <w:t xml:space="preserve">6. </w:t>
      </w:r>
      <w:r w:rsidR="00AC7C41" w:rsidRPr="00F9324B">
        <w:rPr>
          <w:rFonts w:eastAsia="Arial"/>
        </w:rPr>
        <w:t xml:space="preserve">MITIGATING THE INCIDENCE </w:t>
      </w:r>
      <w:r w:rsidR="00F9324B" w:rsidRPr="00F9324B">
        <w:rPr>
          <w:rFonts w:eastAsia="Arial"/>
        </w:rPr>
        <w:t>AND</w:t>
      </w:r>
      <w:r w:rsidR="00AC7C41" w:rsidRPr="00F9324B">
        <w:rPr>
          <w:rFonts w:eastAsia="Arial"/>
        </w:rPr>
        <w:t xml:space="preserve"> SEVERITY OF INJURIES </w:t>
      </w:r>
      <w:r w:rsidR="00F9324B" w:rsidRPr="00F9324B">
        <w:rPr>
          <w:rFonts w:eastAsia="Arial"/>
        </w:rPr>
        <w:t>AND</w:t>
      </w:r>
      <w:r w:rsidR="00AC7C41" w:rsidRPr="00F9324B">
        <w:rPr>
          <w:rFonts w:eastAsia="Arial"/>
        </w:rPr>
        <w:t xml:space="preserve"> OTHER HARMS</w:t>
      </w:r>
    </w:p>
    <w:p w14:paraId="68E6A716" w14:textId="76D34D40" w:rsidR="00266FDD" w:rsidRPr="003E6E00" w:rsidRDefault="002A0649" w:rsidP="004A1648">
      <w:pPr>
        <w:ind w:left="360"/>
        <w:jc w:val="both"/>
        <w:rPr>
          <w:rFonts w:ascii="Arial" w:hAnsi="Arial" w:cs="Arial"/>
          <w:b/>
          <w:bCs/>
          <w:i/>
          <w:iCs/>
          <w:color w:val="ED7D31" w:themeColor="accent2"/>
          <w:sz w:val="22"/>
          <w:szCs w:val="22"/>
        </w:rPr>
      </w:pPr>
      <w:r w:rsidRPr="002A0649">
        <w:rPr>
          <w:rFonts w:ascii="Arial" w:hAnsi="Arial" w:cs="Arial"/>
          <w:b/>
          <w:bCs/>
          <w:i/>
          <w:iCs/>
          <w:color w:val="ED7D31" w:themeColor="accent2"/>
          <w:sz w:val="22"/>
          <w:szCs w:val="22"/>
        </w:rPr>
        <w:t xml:space="preserve">Jenny L. Flores, et al. v. Merrick Garland, et al. </w:t>
      </w:r>
      <w:r w:rsidR="00266FDD" w:rsidRPr="00266FDD">
        <w:rPr>
          <w:rFonts w:ascii="Arial" w:hAnsi="Arial" w:cs="Arial"/>
          <w:sz w:val="22"/>
          <w:szCs w:val="22"/>
        </w:rPr>
        <w:t xml:space="preserve">(U.S. District Court, Central District of California, April 3, 2024): This decision comes through the 1997 Flores Settlement, which established national minimum standards for the treatment, placement, and release of detained immigrant children. The federal district court maintains ongoing supervision of the federal government’s compliance with the settlement.  In this litigation, plaintiffs challenged as a violation of the settlement the federal government’s practice of detaining immigrant minors in open-air settings. The Court ruled that all minors detained by the Department of Human Services (DHS) in open air detention sites are in US custody and therefore entitled to rights and protections guaranteed by the settlement. The Court found that DHS is violating the settlement by placing children in open air detention and ordered DHS to provide those children safe and sanitary conditions, including indoor facilities. </w:t>
      </w:r>
      <w:hyperlink r:id="rId15" w:history="1">
        <w:r w:rsidR="00266FDD" w:rsidRPr="005D115F">
          <w:rPr>
            <w:rStyle w:val="Hyperlink"/>
            <w:rFonts w:ascii="Arial" w:hAnsi="Arial" w:cs="Arial"/>
            <w:sz w:val="22"/>
            <w:szCs w:val="22"/>
          </w:rPr>
          <w:t>Read the full order here.</w:t>
        </w:r>
      </w:hyperlink>
    </w:p>
    <w:p w14:paraId="54E2FFFB" w14:textId="77777777" w:rsidR="004A1648" w:rsidRDefault="004A1648" w:rsidP="001E757E">
      <w:pPr>
        <w:pBdr>
          <w:top w:val="nil"/>
          <w:left w:val="nil"/>
          <w:bottom w:val="nil"/>
          <w:right w:val="nil"/>
          <w:between w:val="nil"/>
        </w:pBdr>
        <w:spacing w:after="160" w:line="254" w:lineRule="auto"/>
        <w:ind w:left="360"/>
        <w:jc w:val="both"/>
        <w:rPr>
          <w:rStyle w:val="Hyperlink"/>
          <w:rFonts w:ascii="Arial" w:eastAsia="Arial" w:hAnsi="Arial" w:cs="Arial"/>
          <w:bCs/>
          <w:sz w:val="22"/>
          <w:szCs w:val="22"/>
        </w:rPr>
      </w:pPr>
    </w:p>
    <w:p w14:paraId="339BE61A" w14:textId="3BE57AFA" w:rsidR="00E05A89" w:rsidRDefault="004C5239" w:rsidP="004C5239">
      <w:pPr>
        <w:pStyle w:val="Heading1"/>
      </w:pPr>
      <w:bookmarkStart w:id="19" w:name="_heading=h.3znysh7" w:colFirst="0" w:colLast="0"/>
      <w:bookmarkStart w:id="20" w:name="_7._PUBLIC_HEALTH"/>
      <w:bookmarkEnd w:id="19"/>
      <w:bookmarkEnd w:id="20"/>
      <w:r>
        <w:rPr>
          <w:rFonts w:eastAsia="Arial"/>
        </w:rPr>
        <w:t xml:space="preserve">7. </w:t>
      </w:r>
      <w:r w:rsidR="00AC7C41" w:rsidRPr="00F9324B">
        <w:rPr>
          <w:rFonts w:eastAsia="Arial"/>
        </w:rPr>
        <w:t>PUBLIC HEALTH INFORMATION MANAGEMENT, PRIVACY &amp; SECURITY</w:t>
      </w:r>
    </w:p>
    <w:p w14:paraId="0000003E" w14:textId="0DCBDB99" w:rsidR="002D38CF" w:rsidRPr="00F9324B" w:rsidRDefault="004C5239" w:rsidP="004C5239">
      <w:pPr>
        <w:pStyle w:val="Heading1"/>
        <w:rPr>
          <w:rFonts w:eastAsia="Arial"/>
        </w:rPr>
      </w:pPr>
      <w:bookmarkStart w:id="21" w:name="_heading=h.75t60ccwjkev" w:colFirst="0" w:colLast="0"/>
      <w:bookmarkStart w:id="22" w:name="_8._REGULATING_COMMUNICATIONS"/>
      <w:bookmarkEnd w:id="21"/>
      <w:bookmarkEnd w:id="22"/>
      <w:r>
        <w:rPr>
          <w:rFonts w:eastAsia="Arial"/>
        </w:rPr>
        <w:t xml:space="preserve">8. </w:t>
      </w:r>
      <w:r w:rsidR="00AC7C41" w:rsidRPr="00F9324B">
        <w:rPr>
          <w:rFonts w:eastAsia="Arial"/>
        </w:rPr>
        <w:t>REGULATING COMMUNICATIONS</w:t>
      </w:r>
    </w:p>
    <w:p w14:paraId="261D874A" w14:textId="507168E0" w:rsidR="003E6B25" w:rsidRDefault="00746DC2" w:rsidP="003E6B25">
      <w:pPr>
        <w:pBdr>
          <w:top w:val="nil"/>
          <w:left w:val="nil"/>
          <w:bottom w:val="nil"/>
          <w:right w:val="nil"/>
          <w:between w:val="nil"/>
        </w:pBdr>
        <w:spacing w:after="160" w:line="254" w:lineRule="auto"/>
        <w:ind w:left="360"/>
        <w:jc w:val="both"/>
        <w:rPr>
          <w:rFonts w:ascii="Arial" w:eastAsia="Arial" w:hAnsi="Arial" w:cs="Arial"/>
          <w:bCs/>
          <w:sz w:val="22"/>
          <w:szCs w:val="22"/>
        </w:rPr>
      </w:pPr>
      <w:r w:rsidRPr="00746DC2">
        <w:rPr>
          <w:rFonts w:ascii="Arial" w:eastAsia="Arial" w:hAnsi="Arial" w:cs="Arial"/>
          <w:b/>
          <w:i/>
          <w:iCs/>
          <w:color w:val="ED7D31" w:themeColor="accent2"/>
          <w:sz w:val="22"/>
          <w:szCs w:val="22"/>
        </w:rPr>
        <w:t>RJ Reynolds Tobacco Company, et al. v. FDA, et al.</w:t>
      </w:r>
      <w:r w:rsidRPr="00746DC2">
        <w:rPr>
          <w:rFonts w:ascii="Arial" w:eastAsia="Arial" w:hAnsi="Arial" w:cs="Arial"/>
          <w:b/>
          <w:i/>
          <w:iCs/>
          <w:color w:val="ED7D31" w:themeColor="accent2"/>
          <w:sz w:val="22"/>
          <w:szCs w:val="22"/>
        </w:rPr>
        <w:t xml:space="preserve"> </w:t>
      </w:r>
      <w:bookmarkStart w:id="23" w:name="_heading=h.2bxy0156fjpz" w:colFirst="0" w:colLast="0"/>
      <w:bookmarkStart w:id="24" w:name="_9._MONITORING_PROPERTY"/>
      <w:bookmarkEnd w:id="23"/>
      <w:bookmarkEnd w:id="24"/>
      <w:r w:rsidR="009A3AAC" w:rsidRPr="009A3AAC">
        <w:rPr>
          <w:rFonts w:ascii="Arial" w:eastAsia="Arial" w:hAnsi="Arial" w:cs="Arial"/>
          <w:bCs/>
          <w:sz w:val="22"/>
          <w:szCs w:val="22"/>
        </w:rPr>
        <w:t xml:space="preserve">(U.S. Court of Appeals for the 5th Circuit, March 21, 2024): The Court of Appeals for the Fifth Circuit rejected a First Amendment challenge to the Food and Drug Administration’s (FDA) new graphic warning label requirement for cigarette packages and advertisements. Cigarette manufacturers </w:t>
      </w:r>
      <w:proofErr w:type="gramStart"/>
      <w:r w:rsidR="009A3AAC" w:rsidRPr="009A3AAC">
        <w:rPr>
          <w:rFonts w:ascii="Arial" w:eastAsia="Arial" w:hAnsi="Arial" w:cs="Arial"/>
          <w:bCs/>
          <w:sz w:val="22"/>
          <w:szCs w:val="22"/>
        </w:rPr>
        <w:t>had successfully challenged</w:t>
      </w:r>
      <w:proofErr w:type="gramEnd"/>
      <w:r w:rsidR="009A3AAC" w:rsidRPr="009A3AAC">
        <w:rPr>
          <w:rFonts w:ascii="Arial" w:eastAsia="Arial" w:hAnsi="Arial" w:cs="Arial"/>
          <w:bCs/>
          <w:sz w:val="22"/>
          <w:szCs w:val="22"/>
        </w:rPr>
        <w:t xml:space="preserve"> the FDA’s initial set of graphic warnings in 2011; the Agency proposed new warnings in 2021. Cigarette manufacturers again challenged the regulations on First Amendment grounds. The Court found that the new warnings are factual and non-controversial and justified by the government's interest in promoting greater public understanding of the negative health consequences of smoking. The Court also found that the regulation is not unduly burdensome as cigarette manufacturers have myriad ways to advertise their products beyond the portion of the packaging and ads containing the graphic warnings. However, the case was remanded to the district court for consideration of the claim that the FDA violated the Administrative Procedure Act, a claim the district court had not decided. </w:t>
      </w:r>
      <w:hyperlink r:id="rId16" w:history="1">
        <w:r w:rsidR="009A3AAC" w:rsidRPr="00C97334">
          <w:rPr>
            <w:rStyle w:val="Hyperlink"/>
            <w:rFonts w:ascii="Arial" w:eastAsia="Arial" w:hAnsi="Arial" w:cs="Arial"/>
            <w:bCs/>
            <w:sz w:val="22"/>
            <w:szCs w:val="22"/>
          </w:rPr>
          <w:t>Read the full decision here</w:t>
        </w:r>
      </w:hyperlink>
      <w:r w:rsidR="009A3AAC" w:rsidRPr="009A3AAC">
        <w:rPr>
          <w:rFonts w:ascii="Arial" w:eastAsia="Arial" w:hAnsi="Arial" w:cs="Arial"/>
          <w:bCs/>
          <w:sz w:val="22"/>
          <w:szCs w:val="22"/>
        </w:rPr>
        <w:t>.</w:t>
      </w:r>
    </w:p>
    <w:p w14:paraId="1090886E" w14:textId="1EF1E544" w:rsidR="001536B3" w:rsidRDefault="004C5239" w:rsidP="004C5239">
      <w:pPr>
        <w:pStyle w:val="Heading1"/>
        <w:rPr>
          <w:rFonts w:eastAsia="Arial"/>
        </w:rPr>
      </w:pPr>
      <w:r>
        <w:rPr>
          <w:rFonts w:eastAsia="Arial"/>
        </w:rPr>
        <w:t xml:space="preserve">9. </w:t>
      </w:r>
      <w:r w:rsidR="00AC7C41" w:rsidRPr="00F9324B">
        <w:rPr>
          <w:rFonts w:eastAsia="Arial"/>
        </w:rPr>
        <w:t xml:space="preserve">MONITORING PROPERTY </w:t>
      </w:r>
      <w:r w:rsidR="00F9324B">
        <w:rPr>
          <w:rFonts w:eastAsia="Arial"/>
        </w:rPr>
        <w:t>AND</w:t>
      </w:r>
      <w:r w:rsidR="00AC7C41" w:rsidRPr="00F9324B">
        <w:rPr>
          <w:rFonts w:eastAsia="Arial"/>
        </w:rPr>
        <w:t xml:space="preserve"> THE BUILT ENVIRONMENT</w:t>
      </w:r>
      <w:bookmarkStart w:id="25" w:name="_heading=h.j1pd2uy28elu" w:colFirst="0" w:colLast="0"/>
      <w:bookmarkEnd w:id="25"/>
    </w:p>
    <w:p w14:paraId="0BF41686" w14:textId="01FF5346" w:rsidR="004A1648" w:rsidRDefault="00FE0949" w:rsidP="004A1648">
      <w:pPr>
        <w:pBdr>
          <w:top w:val="nil"/>
          <w:left w:val="nil"/>
          <w:bottom w:val="nil"/>
          <w:right w:val="nil"/>
          <w:between w:val="nil"/>
        </w:pBdr>
        <w:spacing w:line="259" w:lineRule="auto"/>
        <w:ind w:left="360"/>
        <w:jc w:val="both"/>
        <w:rPr>
          <w:rFonts w:ascii="Arial" w:eastAsia="Arial" w:hAnsi="Arial" w:cs="Arial"/>
          <w:bCs/>
          <w:sz w:val="22"/>
          <w:szCs w:val="22"/>
        </w:rPr>
      </w:pPr>
      <w:r w:rsidRPr="00FE0949">
        <w:rPr>
          <w:rFonts w:ascii="Arial" w:eastAsia="Arial" w:hAnsi="Arial" w:cs="Arial"/>
          <w:b/>
          <w:i/>
          <w:iCs/>
          <w:color w:val="ED7D31" w:themeColor="accent2"/>
          <w:sz w:val="22"/>
          <w:szCs w:val="22"/>
        </w:rPr>
        <w:t>Westminster Management, LLC, et al. v. Tenae Smith, et al.</w:t>
      </w:r>
      <w:r w:rsidR="004A1648">
        <w:rPr>
          <w:rFonts w:ascii="Arial" w:eastAsia="Arial" w:hAnsi="Arial" w:cs="Arial"/>
          <w:bCs/>
          <w:sz w:val="22"/>
          <w:szCs w:val="22"/>
        </w:rPr>
        <w:t xml:space="preserve"> </w:t>
      </w:r>
      <w:r w:rsidR="008D33E4" w:rsidRPr="008D33E4">
        <w:rPr>
          <w:rFonts w:ascii="Arial" w:eastAsia="Arial" w:hAnsi="Arial" w:cs="Arial"/>
          <w:bCs/>
          <w:sz w:val="22"/>
          <w:szCs w:val="22"/>
        </w:rPr>
        <w:t xml:space="preserve">(Supreme Court of Maryland, March 25, 2024): The Supreme Court of Maryland found that a rental property management company violated state law by charging excessive fees for late payment of rent and other charges and using those late fees and charges as a basis for filing eviction proceedings. The tenant-plaintiffs alleged that the management company illegally defined the excessive late fees as rent in their leases so that when a tenant paid their rent, the management company would first deduct late fees, making the tenant’s rent payment insufficient, triggering more late fees and often eviction filings. The Court found that this scheme violates state law in two ways. First, the practice of charging collection fees beyond a 5% late fee violates Maryland’s statutory limit on late fees. Second, the Court held that rent “means the fixed, periodic payments that a tenant makes for the use or occupancy of the premises” and that </w:t>
      </w:r>
      <w:r w:rsidR="008D33E4" w:rsidRPr="008D33E4">
        <w:rPr>
          <w:rFonts w:ascii="Arial" w:eastAsia="Arial" w:hAnsi="Arial" w:cs="Arial"/>
          <w:bCs/>
          <w:sz w:val="22"/>
          <w:szCs w:val="22"/>
        </w:rPr>
        <w:lastRenderedPageBreak/>
        <w:t xml:space="preserve">the management company’s attempt to add additional charges to the definition of rent in lease agreements is illegal. As a result, the management company must apply rent payments only to rent due and may not initiate eviction proceedings based on non-payment of other fees. The case was remanded to the lower court to reconsider allowing the plaintiffs to proceed under class certification, allowing all tenants of the management company to seek relief based on these legal findings. </w:t>
      </w:r>
      <w:hyperlink r:id="rId17" w:history="1">
        <w:r w:rsidR="008D33E4" w:rsidRPr="00324E0E">
          <w:rPr>
            <w:rStyle w:val="Hyperlink"/>
            <w:rFonts w:ascii="Arial" w:eastAsia="Arial" w:hAnsi="Arial" w:cs="Arial"/>
            <w:bCs/>
            <w:sz w:val="22"/>
            <w:szCs w:val="22"/>
          </w:rPr>
          <w:t>Read the full decision here</w:t>
        </w:r>
      </w:hyperlink>
      <w:r w:rsidR="008D33E4" w:rsidRPr="008D33E4">
        <w:rPr>
          <w:rFonts w:ascii="Arial" w:eastAsia="Arial" w:hAnsi="Arial" w:cs="Arial"/>
          <w:bCs/>
          <w:sz w:val="22"/>
          <w:szCs w:val="22"/>
        </w:rPr>
        <w:t>.</w:t>
      </w:r>
    </w:p>
    <w:p w14:paraId="310D21E2" w14:textId="77777777" w:rsidR="008D33E4" w:rsidRDefault="008D33E4" w:rsidP="004A1648">
      <w:pPr>
        <w:pBdr>
          <w:top w:val="nil"/>
          <w:left w:val="nil"/>
          <w:bottom w:val="nil"/>
          <w:right w:val="nil"/>
          <w:between w:val="nil"/>
        </w:pBdr>
        <w:spacing w:line="259" w:lineRule="auto"/>
        <w:ind w:left="360"/>
        <w:jc w:val="both"/>
        <w:rPr>
          <w:rFonts w:ascii="Arial" w:eastAsia="Arial" w:hAnsi="Arial" w:cs="Arial"/>
          <w:bCs/>
          <w:sz w:val="22"/>
          <w:szCs w:val="22"/>
        </w:rPr>
      </w:pPr>
    </w:p>
    <w:p w14:paraId="00000047" w14:textId="6CB426A6" w:rsidR="002D38CF" w:rsidRDefault="004C5239" w:rsidP="004C5239">
      <w:pPr>
        <w:pStyle w:val="Heading1"/>
        <w:rPr>
          <w:rFonts w:eastAsia="Arial"/>
        </w:rPr>
      </w:pPr>
      <w:bookmarkStart w:id="26" w:name="_10._PUBLIC_HEALTH"/>
      <w:bookmarkEnd w:id="26"/>
      <w:r>
        <w:rPr>
          <w:rFonts w:eastAsia="Arial"/>
        </w:rPr>
        <w:t xml:space="preserve">10. </w:t>
      </w:r>
      <w:r w:rsidR="00AC7C41" w:rsidRPr="00F9324B">
        <w:rPr>
          <w:rFonts w:eastAsia="Arial"/>
        </w:rPr>
        <w:t xml:space="preserve">PUBLIC HEALTH EMERGENCY: LEGAL PREPAREDNESS </w:t>
      </w:r>
      <w:r w:rsidR="00F9324B" w:rsidRPr="00F9324B">
        <w:rPr>
          <w:rFonts w:eastAsia="Arial"/>
        </w:rPr>
        <w:t>AND</w:t>
      </w:r>
      <w:r w:rsidR="00AC7C41" w:rsidRPr="00F9324B">
        <w:rPr>
          <w:rFonts w:eastAsia="Arial"/>
        </w:rPr>
        <w:t xml:space="preserve"> RESPONSE</w:t>
      </w:r>
    </w:p>
    <w:p w14:paraId="0172A172" w14:textId="53B9DBB1" w:rsidR="00450FBC" w:rsidRPr="00F9324B" w:rsidRDefault="004C5239" w:rsidP="004C5239">
      <w:pPr>
        <w:pStyle w:val="Heading1"/>
      </w:pPr>
      <w:bookmarkStart w:id="27" w:name="_heading=h.1gtj77x6yvx6" w:colFirst="0" w:colLast="0"/>
      <w:bookmarkStart w:id="28" w:name="_heading=h.xosmcz33xyj3" w:colFirst="0" w:colLast="0"/>
      <w:bookmarkStart w:id="29" w:name="_heading=h.wv3augkemjij" w:colFirst="0" w:colLast="0"/>
      <w:bookmarkStart w:id="30" w:name="_heading=h.gjbvmac7r78a" w:colFirst="0" w:colLast="0"/>
      <w:bookmarkStart w:id="31" w:name="_11._REPRODUCTIVE_LIBERTIES"/>
      <w:bookmarkEnd w:id="27"/>
      <w:bookmarkEnd w:id="28"/>
      <w:bookmarkEnd w:id="29"/>
      <w:bookmarkEnd w:id="30"/>
      <w:bookmarkEnd w:id="31"/>
      <w:r>
        <w:t xml:space="preserve">11. </w:t>
      </w:r>
      <w:r w:rsidR="00E05A89" w:rsidRPr="00F9324B">
        <w:t xml:space="preserve">REPRODUCTIVE LIBERTIES </w:t>
      </w:r>
      <w:r w:rsidR="00F9324B">
        <w:t>AND</w:t>
      </w:r>
      <w:r w:rsidR="00E05A89" w:rsidRPr="00F9324B">
        <w:t xml:space="preserve"> CARE ACCESS</w:t>
      </w:r>
    </w:p>
    <w:p w14:paraId="050B7DF7" w14:textId="2F65719C" w:rsidR="001E757E" w:rsidRDefault="006869F5" w:rsidP="004A1648">
      <w:pPr>
        <w:pStyle w:val="NormalWeb"/>
        <w:spacing w:before="0" w:beforeAutospacing="0" w:after="0" w:afterAutospacing="0"/>
        <w:ind w:left="360"/>
        <w:jc w:val="both"/>
        <w:textAlignment w:val="baseline"/>
        <w:rPr>
          <w:rFonts w:ascii="Arial" w:hAnsi="Arial" w:cs="Arial"/>
          <w:color w:val="000000"/>
          <w:sz w:val="22"/>
          <w:szCs w:val="22"/>
        </w:rPr>
      </w:pPr>
      <w:hyperlink r:id="rId18" w:history="1">
        <w:r w:rsidR="004A1648" w:rsidRPr="006869F5">
          <w:rPr>
            <w:rStyle w:val="Hyperlink"/>
            <w:rFonts w:ascii="Arial" w:hAnsi="Arial" w:cs="Arial"/>
            <w:b/>
            <w:bCs/>
            <w:i/>
            <w:iCs/>
            <w:sz w:val="22"/>
            <w:szCs w:val="22"/>
          </w:rPr>
          <w:t>Ohio, et al. v. Becerra</w:t>
        </w:r>
      </w:hyperlink>
      <w:r w:rsidR="004A1648" w:rsidRPr="00F36013">
        <w:rPr>
          <w:rFonts w:ascii="Arial" w:hAnsi="Arial" w:cs="Arial"/>
          <w:color w:val="ED7D31" w:themeColor="accent2"/>
          <w:sz w:val="22"/>
          <w:szCs w:val="22"/>
        </w:rPr>
        <w:t xml:space="preserve"> </w:t>
      </w:r>
      <w:r w:rsidR="001B5E15" w:rsidRPr="001B5E15">
        <w:rPr>
          <w:rFonts w:ascii="Arial" w:hAnsi="Arial" w:cs="Arial"/>
          <w:color w:val="000000"/>
          <w:sz w:val="22"/>
          <w:szCs w:val="22"/>
        </w:rPr>
        <w:t xml:space="preserve">(Supreme Court of Florida April 1, 2024): The Supreme Court of Florida ruled that a state statute banning abortion after 15 weeks of gestation did not violate the Florida Constitution’s Privacy Clause that provides “the right to be let alone and free from governmental intrusion into . . . private life.” Long-standing decisions by the Court finding abortion protections in the Privacy Clause were based on the same analysis that had been used in Roe v. Wade, overturned by the Supreme Court of the United States in Dobbs. The Florida Court overturned its precedent, abiding to the same analysis used in Dobbs to overturn Roe and finding that the previous decisions failed to give proper deference to the state legislature. Having established no constitutional right to abortion, the Court upheld the 15-week ban largely on the grounds that state legislation is entitled to the presumption of constitutionality. Although the case concerned the 15-week ban, the decision eliminating the state constitutional right to abortion triggered a new law imposing a 6-week ban. On the same day the Court upheld the abortion ban, the Court approved placing a question on the November 2024 ballot called the “Amendment to Limit Government Interference with Abortion,” that would limit the power of the legislature to restrict abortion access. Florida requires a 60% favorable vote to amend the Constitution. Read the full Planned Parenthood Opinion here. </w:t>
      </w:r>
      <w:hyperlink r:id="rId19" w:history="1">
        <w:r w:rsidR="001B5E15" w:rsidRPr="004529F4">
          <w:rPr>
            <w:rStyle w:val="Hyperlink"/>
            <w:rFonts w:ascii="Arial" w:hAnsi="Arial" w:cs="Arial"/>
            <w:sz w:val="22"/>
            <w:szCs w:val="22"/>
          </w:rPr>
          <w:t>Read the ballot question Advisory Opinion here</w:t>
        </w:r>
      </w:hyperlink>
      <w:r w:rsidR="001B5E15" w:rsidRPr="001B5E15">
        <w:rPr>
          <w:rFonts w:ascii="Arial" w:hAnsi="Arial" w:cs="Arial"/>
          <w:color w:val="000000"/>
          <w:sz w:val="22"/>
          <w:szCs w:val="22"/>
        </w:rPr>
        <w:t>.</w:t>
      </w:r>
    </w:p>
    <w:p w14:paraId="3D3854F8" w14:textId="77777777" w:rsidR="004529F4" w:rsidRDefault="004529F4" w:rsidP="004A1648">
      <w:pPr>
        <w:pStyle w:val="NormalWeb"/>
        <w:spacing w:before="0" w:beforeAutospacing="0" w:after="0" w:afterAutospacing="0"/>
        <w:ind w:left="360"/>
        <w:jc w:val="both"/>
        <w:textAlignment w:val="baseline"/>
        <w:rPr>
          <w:rFonts w:ascii="Arial" w:hAnsi="Arial" w:cs="Arial"/>
          <w:color w:val="000000"/>
          <w:sz w:val="22"/>
          <w:szCs w:val="22"/>
        </w:rPr>
      </w:pPr>
    </w:p>
    <w:p w14:paraId="38C17364" w14:textId="34AA2801" w:rsidR="004529F4" w:rsidRDefault="00110BBB" w:rsidP="004A1648">
      <w:pPr>
        <w:pStyle w:val="NormalWeb"/>
        <w:spacing w:before="0" w:beforeAutospacing="0" w:after="0" w:afterAutospacing="0"/>
        <w:ind w:left="360"/>
        <w:jc w:val="both"/>
        <w:textAlignment w:val="baseline"/>
        <w:rPr>
          <w:rFonts w:ascii="Arial" w:hAnsi="Arial" w:cs="Arial"/>
          <w:color w:val="000000"/>
          <w:sz w:val="22"/>
          <w:szCs w:val="22"/>
        </w:rPr>
      </w:pPr>
      <w:r w:rsidRPr="00110BBB">
        <w:rPr>
          <w:rFonts w:ascii="Arial" w:hAnsi="Arial" w:cs="Arial"/>
          <w:b/>
          <w:bCs/>
          <w:i/>
          <w:iCs/>
          <w:color w:val="ED7D31" w:themeColor="accent2"/>
          <w:sz w:val="22"/>
          <w:szCs w:val="22"/>
        </w:rPr>
        <w:t>Planned Parenthood Arizona, et al. v. Kristin Mayes, et al.</w:t>
      </w:r>
      <w:r w:rsidR="002743B8" w:rsidRPr="00F36013">
        <w:rPr>
          <w:rFonts w:ascii="Arial" w:hAnsi="Arial" w:cs="Arial"/>
          <w:color w:val="ED7D31" w:themeColor="accent2"/>
          <w:sz w:val="22"/>
          <w:szCs w:val="22"/>
        </w:rPr>
        <w:t xml:space="preserve"> </w:t>
      </w:r>
      <w:r w:rsidR="0081429F" w:rsidRPr="0081429F">
        <w:rPr>
          <w:rFonts w:ascii="Arial" w:hAnsi="Arial" w:cs="Arial"/>
          <w:color w:val="000000"/>
          <w:sz w:val="22"/>
          <w:szCs w:val="22"/>
        </w:rPr>
        <w:t xml:space="preserve">(Arizona Supreme Court, April 9, 2024): The Arizona Supreme Court found that a law passed in 1864 that prohibits abortion except to save the life of the pregnant person was returned to effect because of the Supreme Court of the United States decision in Dobbs overturning Roe v. Wade. The court explained that the 15-week abortion ban passed in 2022 and other post-Roe abortion laws passed by the state legislature failed to completely repeal the 160-year-old total abortion ban that had only been unenforceable because of Roe. The later enactments did not create an explicit right to abortion. As a result, abortion is prohibited except to save the life of the pregnant person per the 1864 law. Unlike the 15-week ban, the 1864 law lacks any definitions or explanations that medical professionals can rely upon to determine when a pregnant person’s life is in sufficient jeopardy to permit abortion. The Attorney General of Arizona sought reconsideration of the decision; that was denied April 30, 2024. On May 1, 2024, the Arizona State Legislature passed </w:t>
      </w:r>
      <w:hyperlink r:id="rId20" w:history="1">
        <w:r w:rsidR="0081429F" w:rsidRPr="003836F3">
          <w:rPr>
            <w:rStyle w:val="Hyperlink"/>
            <w:rFonts w:ascii="Arial" w:hAnsi="Arial" w:cs="Arial"/>
            <w:sz w:val="22"/>
            <w:szCs w:val="22"/>
          </w:rPr>
          <w:t>a bill repealing the 1864 prohibition</w:t>
        </w:r>
      </w:hyperlink>
      <w:r w:rsidR="0081429F" w:rsidRPr="0081429F">
        <w:rPr>
          <w:rFonts w:ascii="Arial" w:hAnsi="Arial" w:cs="Arial"/>
          <w:color w:val="000000"/>
          <w:sz w:val="22"/>
          <w:szCs w:val="22"/>
        </w:rPr>
        <w:t xml:space="preserve"> and the </w:t>
      </w:r>
      <w:hyperlink r:id="rId21" w:history="1">
        <w:r w:rsidR="0081429F" w:rsidRPr="00570EF5">
          <w:rPr>
            <w:rStyle w:val="Hyperlink"/>
            <w:rFonts w:ascii="Arial" w:hAnsi="Arial" w:cs="Arial"/>
            <w:sz w:val="22"/>
            <w:szCs w:val="22"/>
          </w:rPr>
          <w:t>Governor will sign</w:t>
        </w:r>
      </w:hyperlink>
      <w:r w:rsidR="0081429F" w:rsidRPr="0081429F">
        <w:rPr>
          <w:rFonts w:ascii="Arial" w:hAnsi="Arial" w:cs="Arial"/>
          <w:color w:val="000000"/>
          <w:sz w:val="22"/>
          <w:szCs w:val="22"/>
        </w:rPr>
        <w:t xml:space="preserve"> the bill. As a result, the 1864 ban revived in the Mayes case will have no effect and the 15-week ban passed in 2022 will be effective. </w:t>
      </w:r>
      <w:hyperlink r:id="rId22" w:history="1">
        <w:r w:rsidR="0081429F" w:rsidRPr="00101DFD">
          <w:rPr>
            <w:rStyle w:val="Hyperlink"/>
            <w:rFonts w:ascii="Arial" w:hAnsi="Arial" w:cs="Arial"/>
            <w:sz w:val="22"/>
            <w:szCs w:val="22"/>
          </w:rPr>
          <w:t>Read the full decision here</w:t>
        </w:r>
      </w:hyperlink>
      <w:r w:rsidR="0081429F" w:rsidRPr="0081429F">
        <w:rPr>
          <w:rFonts w:ascii="Arial" w:hAnsi="Arial" w:cs="Arial"/>
          <w:color w:val="000000"/>
          <w:sz w:val="22"/>
          <w:szCs w:val="22"/>
        </w:rPr>
        <w:t>.</w:t>
      </w:r>
    </w:p>
    <w:p w14:paraId="1503653F" w14:textId="77777777" w:rsidR="00101DFD" w:rsidRDefault="00101DFD" w:rsidP="004A1648">
      <w:pPr>
        <w:pStyle w:val="NormalWeb"/>
        <w:spacing w:before="0" w:beforeAutospacing="0" w:after="0" w:afterAutospacing="0"/>
        <w:ind w:left="360"/>
        <w:jc w:val="both"/>
        <w:textAlignment w:val="baseline"/>
        <w:rPr>
          <w:rFonts w:ascii="Arial" w:hAnsi="Arial" w:cs="Arial"/>
          <w:color w:val="1155CC"/>
          <w:sz w:val="22"/>
          <w:szCs w:val="22"/>
          <w:u w:val="single"/>
        </w:rPr>
      </w:pPr>
    </w:p>
    <w:p w14:paraId="2424EAAB" w14:textId="72CF0EA1" w:rsidR="001B5E15" w:rsidRDefault="009B1863" w:rsidP="004A1648">
      <w:pPr>
        <w:pStyle w:val="NormalWeb"/>
        <w:spacing w:before="0" w:beforeAutospacing="0" w:after="0" w:afterAutospacing="0"/>
        <w:ind w:left="360"/>
        <w:jc w:val="both"/>
        <w:textAlignment w:val="baseline"/>
        <w:rPr>
          <w:rFonts w:ascii="Arial" w:hAnsi="Arial" w:cs="Arial"/>
          <w:color w:val="1155CC"/>
          <w:sz w:val="22"/>
          <w:szCs w:val="22"/>
          <w:u w:val="single"/>
        </w:rPr>
      </w:pPr>
      <w:r w:rsidRPr="009B1863">
        <w:rPr>
          <w:rFonts w:ascii="Arial" w:hAnsi="Arial" w:cs="Arial"/>
          <w:b/>
          <w:bCs/>
          <w:i/>
          <w:iCs/>
          <w:color w:val="ED7D31" w:themeColor="accent2"/>
          <w:sz w:val="22"/>
          <w:szCs w:val="22"/>
        </w:rPr>
        <w:t>Bryant v. Stein, et al.</w:t>
      </w:r>
      <w:r w:rsidRPr="009B1863">
        <w:rPr>
          <w:rFonts w:ascii="Arial" w:hAnsi="Arial" w:cs="Arial"/>
          <w:b/>
          <w:bCs/>
          <w:i/>
          <w:iCs/>
          <w:color w:val="ED7D31" w:themeColor="accent2"/>
          <w:sz w:val="22"/>
          <w:szCs w:val="22"/>
        </w:rPr>
        <w:t xml:space="preserve"> </w:t>
      </w:r>
      <w:r w:rsidR="00E167EC" w:rsidRPr="00E167EC">
        <w:rPr>
          <w:rFonts w:ascii="Arial" w:hAnsi="Arial" w:cs="Arial"/>
          <w:color w:val="000000"/>
          <w:sz w:val="22"/>
          <w:szCs w:val="22"/>
        </w:rPr>
        <w:t xml:space="preserve">(U.S. District Court for the Middle District of North Carolina, April 30, 2024): The District Court for the Middle District of North Carolina found that some aspects of a North Carolina law regulating the provision of medication abortion are preempted by federal law. Medication abortion drugs are approved by the Food and Drug Administration (FDA) and may be prescribed and used as established by the FDA. Provisions in the North Carolina law that prohibit non-physician medical </w:t>
      </w:r>
      <w:r w:rsidR="00E167EC" w:rsidRPr="00E167EC">
        <w:rPr>
          <w:rFonts w:ascii="Arial" w:hAnsi="Arial" w:cs="Arial"/>
          <w:color w:val="000000"/>
          <w:sz w:val="22"/>
          <w:szCs w:val="22"/>
        </w:rPr>
        <w:lastRenderedPageBreak/>
        <w:t xml:space="preserve">professionals from prescribing medication abortion drugs; require in-person prescribing, dispensing, and administering; and compel prescribers to schedule an in-person follow-up appointment are preempted by the FDA’s approval and rules for use of the drugs. State law requirements for in-person counseling, ultrasound and blood testing, and adverse event reporting to the State are not inconsistent with federal law and may remain in effect. </w:t>
      </w:r>
      <w:hyperlink r:id="rId23" w:history="1">
        <w:r w:rsidR="00E167EC" w:rsidRPr="00B31E07">
          <w:rPr>
            <w:rStyle w:val="Hyperlink"/>
            <w:rFonts w:ascii="Arial" w:hAnsi="Arial" w:cs="Arial"/>
            <w:sz w:val="22"/>
            <w:szCs w:val="22"/>
          </w:rPr>
          <w:t>Read the full opinion here</w:t>
        </w:r>
      </w:hyperlink>
      <w:r w:rsidR="00E167EC" w:rsidRPr="00E167EC">
        <w:rPr>
          <w:rFonts w:ascii="Arial" w:hAnsi="Arial" w:cs="Arial"/>
          <w:color w:val="000000"/>
          <w:sz w:val="22"/>
          <w:szCs w:val="22"/>
        </w:rPr>
        <w:t>.</w:t>
      </w:r>
    </w:p>
    <w:p w14:paraId="644A1046" w14:textId="77777777" w:rsidR="001B5E15" w:rsidRPr="001E757E" w:rsidRDefault="001B5E15" w:rsidP="004A1648">
      <w:pPr>
        <w:pStyle w:val="NormalWeb"/>
        <w:spacing w:before="0" w:beforeAutospacing="0" w:after="0" w:afterAutospacing="0"/>
        <w:ind w:left="360"/>
        <w:jc w:val="both"/>
        <w:textAlignment w:val="baseline"/>
        <w:rPr>
          <w:rFonts w:ascii="Arial" w:eastAsia="Arial" w:hAnsi="Arial" w:cs="Arial"/>
          <w:bCs/>
          <w:sz w:val="22"/>
          <w:szCs w:val="22"/>
        </w:rPr>
      </w:pPr>
    </w:p>
    <w:p w14:paraId="11AAE3B5" w14:textId="77777777" w:rsidR="0023687C" w:rsidRDefault="0023687C" w:rsidP="0057200B">
      <w:pPr>
        <w:pStyle w:val="NormalWeb"/>
        <w:spacing w:before="0" w:beforeAutospacing="0" w:after="0" w:afterAutospacing="0"/>
        <w:jc w:val="both"/>
      </w:pPr>
    </w:p>
    <w:p w14:paraId="1A16E8AF" w14:textId="77777777" w:rsidR="005429F0" w:rsidRPr="0042092F" w:rsidRDefault="005429F0" w:rsidP="005429F0">
      <w:pPr>
        <w:pBdr>
          <w:bottom w:val="single" w:sz="12" w:space="1" w:color="auto"/>
        </w:pBdr>
        <w:jc w:val="both"/>
        <w:rPr>
          <w:rFonts w:ascii="Arial" w:hAnsi="Arial" w:cs="Arial"/>
          <w:color w:val="000000" w:themeColor="text1"/>
          <w:sz w:val="22"/>
          <w:szCs w:val="22"/>
        </w:rPr>
      </w:pPr>
    </w:p>
    <w:p w14:paraId="1BE4C048" w14:textId="0CDB6F91" w:rsidR="00357B99" w:rsidRDefault="005429F0" w:rsidP="005429F0">
      <w:pPr>
        <w:pStyle w:val="SupportersText"/>
        <w:jc w:val="both"/>
        <w:rPr>
          <w:rFonts w:ascii="Arial" w:hAnsi="Arial" w:cs="Arial"/>
          <w:b w:val="0"/>
          <w:i/>
          <w:sz w:val="22"/>
          <w:szCs w:val="22"/>
        </w:rPr>
      </w:pPr>
      <w:r>
        <w:rPr>
          <w:rFonts w:ascii="Arial" w:hAnsi="Arial" w:cs="Arial"/>
          <w:b w:val="0"/>
          <w:sz w:val="22"/>
          <w:szCs w:val="22"/>
        </w:rPr>
        <w:br/>
      </w:r>
      <w:r w:rsidR="00357B99">
        <w:rPr>
          <w:rFonts w:ascii="Arial" w:hAnsi="Arial" w:cs="Arial"/>
          <w:b w:val="0"/>
          <w:i/>
          <w:sz w:val="22"/>
          <w:szCs w:val="22"/>
        </w:rPr>
        <w:t xml:space="preserve">Judicial Trends in Public Health is published </w:t>
      </w:r>
      <w:r w:rsidR="00662879">
        <w:rPr>
          <w:rFonts w:ascii="Arial" w:hAnsi="Arial" w:cs="Arial"/>
          <w:b w:val="0"/>
          <w:i/>
          <w:sz w:val="22"/>
          <w:szCs w:val="22"/>
        </w:rPr>
        <w:t>quarterly by the Network for Public Health Law. If you have questions about any of the covered cases, please contact the Network</w:t>
      </w:r>
      <w:r w:rsidR="006C37BD">
        <w:rPr>
          <w:rFonts w:ascii="Arial" w:hAnsi="Arial" w:cs="Arial"/>
          <w:b w:val="0"/>
          <w:i/>
          <w:sz w:val="22"/>
          <w:szCs w:val="22"/>
        </w:rPr>
        <w:t xml:space="preserve"> </w:t>
      </w:r>
      <w:hyperlink r:id="rId24" w:history="1">
        <w:r w:rsidR="006C37BD" w:rsidRPr="00083213">
          <w:rPr>
            <w:rStyle w:val="Hyperlink"/>
            <w:rFonts w:ascii="Arial" w:hAnsi="Arial" w:cs="Arial"/>
            <w:b w:val="0"/>
            <w:i/>
            <w:sz w:val="22"/>
            <w:szCs w:val="22"/>
          </w:rPr>
          <w:t>here</w:t>
        </w:r>
      </w:hyperlink>
      <w:r w:rsidR="006C37BD">
        <w:rPr>
          <w:rFonts w:ascii="Arial" w:hAnsi="Arial" w:cs="Arial"/>
          <w:b w:val="0"/>
          <w:i/>
          <w:sz w:val="22"/>
          <w:szCs w:val="22"/>
        </w:rPr>
        <w:t xml:space="preserve">. </w:t>
      </w:r>
    </w:p>
    <w:p w14:paraId="410612F5" w14:textId="31B15037" w:rsidR="005429F0" w:rsidRPr="003104AF" w:rsidRDefault="005429F0" w:rsidP="005429F0">
      <w:pPr>
        <w:pStyle w:val="SupportersText"/>
        <w:jc w:val="both"/>
        <w:rPr>
          <w:rFonts w:ascii="Arial" w:hAnsi="Arial" w:cs="Arial"/>
          <w:b w:val="0"/>
          <w:i/>
          <w:sz w:val="22"/>
          <w:szCs w:val="22"/>
        </w:rPr>
      </w:pPr>
      <w:r w:rsidRPr="00B6700A">
        <w:rPr>
          <w:rFonts w:ascii="Arial" w:hAnsi="Arial" w:cs="Arial"/>
          <w:b w:val="0"/>
          <w:i/>
          <w:sz w:val="22"/>
          <w:szCs w:val="22"/>
        </w:rPr>
        <w:t>Legal information or guidance provided in this transmission or website does not constitute legal advice or representation. For legal advice, please consult specific legal counsel in your state.</w:t>
      </w:r>
    </w:p>
    <w:p w14:paraId="0E277096" w14:textId="77777777" w:rsidR="005429F0" w:rsidRPr="00E05A89" w:rsidRDefault="005429F0" w:rsidP="00E05A89">
      <w:pPr>
        <w:spacing w:line="259" w:lineRule="auto"/>
        <w:ind w:left="360"/>
        <w:jc w:val="both"/>
        <w:rPr>
          <w:rFonts w:ascii="Arial" w:eastAsiaTheme="minorEastAsia" w:hAnsi="Arial" w:cs="Arial"/>
          <w:color w:val="1155CC"/>
          <w:sz w:val="22"/>
          <w:szCs w:val="22"/>
          <w:u w:val="single"/>
          <w:shd w:val="clear" w:color="auto" w:fill="FFFFFF"/>
        </w:rPr>
      </w:pPr>
    </w:p>
    <w:sectPr w:rsidR="005429F0" w:rsidRPr="00E05A89">
      <w:type w:val="continuous"/>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409F" w14:textId="77777777" w:rsidR="001823CA" w:rsidRDefault="001823CA">
      <w:r>
        <w:separator/>
      </w:r>
    </w:p>
  </w:endnote>
  <w:endnote w:type="continuationSeparator" w:id="0">
    <w:p w14:paraId="1480F372" w14:textId="77777777" w:rsidR="001823CA" w:rsidRDefault="0018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58A2" w14:textId="77777777" w:rsidR="001823CA" w:rsidRDefault="001823CA">
      <w:r>
        <w:separator/>
      </w:r>
    </w:p>
  </w:footnote>
  <w:footnote w:type="continuationSeparator" w:id="0">
    <w:p w14:paraId="37C5CD97" w14:textId="77777777" w:rsidR="001823CA" w:rsidRDefault="0018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77777777" w:rsidR="002D38CF" w:rsidRDefault="00AC7C41">
    <w:pPr>
      <w:pBdr>
        <w:top w:val="nil"/>
        <w:left w:val="nil"/>
        <w:bottom w:val="nil"/>
        <w:right w:val="nil"/>
        <w:between w:val="nil"/>
      </w:pBdr>
      <w:tabs>
        <w:tab w:val="center" w:pos="4320"/>
        <w:tab w:val="right" w:pos="8640"/>
      </w:tabs>
      <w:rPr>
        <w:color w:val="000000"/>
      </w:rPr>
    </w:pPr>
    <w:r>
      <w:rPr>
        <w:noProof/>
        <w:color w:val="000000"/>
      </w:rPr>
      <w:drawing>
        <wp:anchor distT="0" distB="0" distL="0" distR="0" simplePos="0" relativeHeight="251658240" behindDoc="0" locked="0" layoutInCell="1" hidden="0" allowOverlap="1" wp14:anchorId="7F923358" wp14:editId="26C8A544">
          <wp:simplePos x="0" y="0"/>
          <wp:positionH relativeFrom="page">
            <wp:posOffset>-5568</wp:posOffset>
          </wp:positionH>
          <wp:positionV relativeFrom="page">
            <wp:posOffset>44605</wp:posOffset>
          </wp:positionV>
          <wp:extent cx="7773228" cy="805070"/>
          <wp:effectExtent l="0" t="0" r="0" b="0"/>
          <wp:wrapSquare wrapText="bothSides" distT="0" distB="0" distL="0" distR="0"/>
          <wp:docPr id="30" name="image1.jpg" descr="RWJ065_GeneralWord_template_p2header.jpg"/>
          <wp:cNvGraphicFramePr/>
          <a:graphic xmlns:a="http://schemas.openxmlformats.org/drawingml/2006/main">
            <a:graphicData uri="http://schemas.openxmlformats.org/drawingml/2006/picture">
              <pic:pic xmlns:pic="http://schemas.openxmlformats.org/drawingml/2006/picture">
                <pic:nvPicPr>
                  <pic:cNvPr id="0" name="image1.jpg" descr="RWJ065_GeneralWord_template_p2header.jpg"/>
                  <pic:cNvPicPr preferRelativeResize="0"/>
                </pic:nvPicPr>
                <pic:blipFill>
                  <a:blip r:embed="rId1"/>
                  <a:srcRect/>
                  <a:stretch>
                    <a:fillRect/>
                  </a:stretch>
                </pic:blipFill>
                <pic:spPr>
                  <a:xfrm>
                    <a:off x="0" y="0"/>
                    <a:ext cx="7773228" cy="8050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77777777" w:rsidR="002D38CF" w:rsidRDefault="00AC7C41">
    <w:pPr>
      <w:pBdr>
        <w:top w:val="nil"/>
        <w:left w:val="nil"/>
        <w:bottom w:val="nil"/>
        <w:right w:val="nil"/>
        <w:between w:val="nil"/>
      </w:pBdr>
      <w:tabs>
        <w:tab w:val="center" w:pos="4320"/>
        <w:tab w:val="right" w:pos="8640"/>
      </w:tabs>
      <w:rPr>
        <w:color w:val="000000"/>
      </w:rPr>
    </w:pPr>
    <w:r>
      <w:rPr>
        <w:noProof/>
        <w:color w:val="000000"/>
      </w:rPr>
      <w:drawing>
        <wp:anchor distT="0" distB="0" distL="0" distR="0" simplePos="0" relativeHeight="251659264" behindDoc="0" locked="0" layoutInCell="1" hidden="0" allowOverlap="1" wp14:anchorId="7A78E390" wp14:editId="050EE737">
          <wp:simplePos x="0" y="0"/>
          <wp:positionH relativeFrom="page">
            <wp:posOffset>69850</wp:posOffset>
          </wp:positionH>
          <wp:positionV relativeFrom="page">
            <wp:posOffset>88900</wp:posOffset>
          </wp:positionV>
          <wp:extent cx="7657399" cy="1803400"/>
          <wp:effectExtent l="0" t="0" r="1270" b="6350"/>
          <wp:wrapSquare wrapText="bothSides" distT="0" distB="0" distL="0" distR="0"/>
          <wp:docPr id="31" name="image2.jpg" descr="RWJ065_GeneralWord_template_masthead.jpg"/>
          <wp:cNvGraphicFramePr/>
          <a:graphic xmlns:a="http://schemas.openxmlformats.org/drawingml/2006/main">
            <a:graphicData uri="http://schemas.openxmlformats.org/drawingml/2006/picture">
              <pic:pic xmlns:pic="http://schemas.openxmlformats.org/drawingml/2006/picture">
                <pic:nvPicPr>
                  <pic:cNvPr id="0" name="image2.jpg" descr="RWJ065_GeneralWord_template_masthead.jpg"/>
                  <pic:cNvPicPr preferRelativeResize="0"/>
                </pic:nvPicPr>
                <pic:blipFill>
                  <a:blip r:embed="rId1"/>
                  <a:srcRect/>
                  <a:stretch>
                    <a:fillRect/>
                  </a:stretch>
                </pic:blipFill>
                <pic:spPr>
                  <a:xfrm>
                    <a:off x="0" y="0"/>
                    <a:ext cx="7667228" cy="180571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B4EFD"/>
    <w:multiLevelType w:val="multilevel"/>
    <w:tmpl w:val="026A18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BC27BE"/>
    <w:multiLevelType w:val="multilevel"/>
    <w:tmpl w:val="387C7D1A"/>
    <w:lvl w:ilvl="0">
      <w:start w:val="1"/>
      <w:numFmt w:val="decimal"/>
      <w:pStyle w:val="JTPHHader"/>
      <w:lvlText w:val="%1."/>
      <w:lvlJc w:val="left"/>
      <w:pPr>
        <w:ind w:left="360" w:hanging="360"/>
      </w:pPr>
      <w:rPr>
        <w:rFonts w:ascii="Arial" w:hAnsi="Arial" w:cs="Arial" w:hint="default"/>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6049285">
    <w:abstractNumId w:val="0"/>
  </w:num>
  <w:num w:numId="2" w16cid:durableId="142699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CF"/>
    <w:rsid w:val="000008C5"/>
    <w:rsid w:val="00003099"/>
    <w:rsid w:val="00004C9D"/>
    <w:rsid w:val="0000546C"/>
    <w:rsid w:val="000058A8"/>
    <w:rsid w:val="00012271"/>
    <w:rsid w:val="00012A32"/>
    <w:rsid w:val="0001434E"/>
    <w:rsid w:val="00015F83"/>
    <w:rsid w:val="00017703"/>
    <w:rsid w:val="0002471F"/>
    <w:rsid w:val="00027550"/>
    <w:rsid w:val="00030B30"/>
    <w:rsid w:val="0003697B"/>
    <w:rsid w:val="000413C1"/>
    <w:rsid w:val="000429C7"/>
    <w:rsid w:val="00043C33"/>
    <w:rsid w:val="000443BE"/>
    <w:rsid w:val="000506DF"/>
    <w:rsid w:val="000507C8"/>
    <w:rsid w:val="000525CF"/>
    <w:rsid w:val="0005393F"/>
    <w:rsid w:val="00055012"/>
    <w:rsid w:val="00061DBB"/>
    <w:rsid w:val="00062B7E"/>
    <w:rsid w:val="0006429D"/>
    <w:rsid w:val="00064D79"/>
    <w:rsid w:val="000704C5"/>
    <w:rsid w:val="000709A1"/>
    <w:rsid w:val="00071575"/>
    <w:rsid w:val="00071E6A"/>
    <w:rsid w:val="00077D16"/>
    <w:rsid w:val="00081302"/>
    <w:rsid w:val="000819A4"/>
    <w:rsid w:val="00081C1F"/>
    <w:rsid w:val="00083213"/>
    <w:rsid w:val="00087D97"/>
    <w:rsid w:val="00092FAC"/>
    <w:rsid w:val="00093683"/>
    <w:rsid w:val="00095843"/>
    <w:rsid w:val="000A286C"/>
    <w:rsid w:val="000A6C21"/>
    <w:rsid w:val="000A75A2"/>
    <w:rsid w:val="000A7A4F"/>
    <w:rsid w:val="000B3A2E"/>
    <w:rsid w:val="000B5A94"/>
    <w:rsid w:val="000B5AC9"/>
    <w:rsid w:val="000C1780"/>
    <w:rsid w:val="000C5454"/>
    <w:rsid w:val="000D6957"/>
    <w:rsid w:val="000E064E"/>
    <w:rsid w:val="000E0AF6"/>
    <w:rsid w:val="000E12CD"/>
    <w:rsid w:val="000E19AC"/>
    <w:rsid w:val="000E1C82"/>
    <w:rsid w:val="000E2F70"/>
    <w:rsid w:val="000E3FA3"/>
    <w:rsid w:val="000E5D17"/>
    <w:rsid w:val="000F72B7"/>
    <w:rsid w:val="000F7B29"/>
    <w:rsid w:val="0010140F"/>
    <w:rsid w:val="00101DFD"/>
    <w:rsid w:val="00102297"/>
    <w:rsid w:val="00102CCF"/>
    <w:rsid w:val="00105FC3"/>
    <w:rsid w:val="00110BBB"/>
    <w:rsid w:val="00120FC1"/>
    <w:rsid w:val="00122CA2"/>
    <w:rsid w:val="00127FDC"/>
    <w:rsid w:val="00132F6A"/>
    <w:rsid w:val="001336F1"/>
    <w:rsid w:val="0013561A"/>
    <w:rsid w:val="001513EA"/>
    <w:rsid w:val="001536B3"/>
    <w:rsid w:val="0015417F"/>
    <w:rsid w:val="0015545B"/>
    <w:rsid w:val="00162287"/>
    <w:rsid w:val="001653B6"/>
    <w:rsid w:val="001823CA"/>
    <w:rsid w:val="00182D05"/>
    <w:rsid w:val="0019052A"/>
    <w:rsid w:val="001913A2"/>
    <w:rsid w:val="00193AAE"/>
    <w:rsid w:val="001979B5"/>
    <w:rsid w:val="00197BA7"/>
    <w:rsid w:val="001A2CA4"/>
    <w:rsid w:val="001A455B"/>
    <w:rsid w:val="001B3CAB"/>
    <w:rsid w:val="001B5C98"/>
    <w:rsid w:val="001B5E15"/>
    <w:rsid w:val="001C0503"/>
    <w:rsid w:val="001C481E"/>
    <w:rsid w:val="001C72DE"/>
    <w:rsid w:val="001D0FA5"/>
    <w:rsid w:val="001D2CC1"/>
    <w:rsid w:val="001D3916"/>
    <w:rsid w:val="001D61AE"/>
    <w:rsid w:val="001D6BE0"/>
    <w:rsid w:val="001E37DB"/>
    <w:rsid w:val="001E6841"/>
    <w:rsid w:val="001E757E"/>
    <w:rsid w:val="001F01DE"/>
    <w:rsid w:val="001F413F"/>
    <w:rsid w:val="001F6186"/>
    <w:rsid w:val="0020024F"/>
    <w:rsid w:val="002006D7"/>
    <w:rsid w:val="002039E5"/>
    <w:rsid w:val="0020619D"/>
    <w:rsid w:val="002140F2"/>
    <w:rsid w:val="002178D9"/>
    <w:rsid w:val="00221592"/>
    <w:rsid w:val="002223CA"/>
    <w:rsid w:val="0023667D"/>
    <w:rsid w:val="0023687C"/>
    <w:rsid w:val="00242577"/>
    <w:rsid w:val="00243066"/>
    <w:rsid w:val="00245852"/>
    <w:rsid w:val="002479A6"/>
    <w:rsid w:val="002546EF"/>
    <w:rsid w:val="00261355"/>
    <w:rsid w:val="002623E3"/>
    <w:rsid w:val="00265A2E"/>
    <w:rsid w:val="00266FDD"/>
    <w:rsid w:val="00267E51"/>
    <w:rsid w:val="002719E2"/>
    <w:rsid w:val="00274131"/>
    <w:rsid w:val="002743B8"/>
    <w:rsid w:val="00275598"/>
    <w:rsid w:val="00276CAF"/>
    <w:rsid w:val="00280F9B"/>
    <w:rsid w:val="00282679"/>
    <w:rsid w:val="00282C26"/>
    <w:rsid w:val="00284370"/>
    <w:rsid w:val="00284688"/>
    <w:rsid w:val="00296D5A"/>
    <w:rsid w:val="002A0649"/>
    <w:rsid w:val="002B56B4"/>
    <w:rsid w:val="002B70B9"/>
    <w:rsid w:val="002C1FAB"/>
    <w:rsid w:val="002C451F"/>
    <w:rsid w:val="002C7D24"/>
    <w:rsid w:val="002D121A"/>
    <w:rsid w:val="002D38CF"/>
    <w:rsid w:val="002E2BB4"/>
    <w:rsid w:val="002E477C"/>
    <w:rsid w:val="002E49AD"/>
    <w:rsid w:val="002F1E91"/>
    <w:rsid w:val="002F4FED"/>
    <w:rsid w:val="00307E18"/>
    <w:rsid w:val="0031217A"/>
    <w:rsid w:val="00312C67"/>
    <w:rsid w:val="00312FD4"/>
    <w:rsid w:val="00313D9D"/>
    <w:rsid w:val="00314FC6"/>
    <w:rsid w:val="00321AEA"/>
    <w:rsid w:val="00324E0E"/>
    <w:rsid w:val="00325D93"/>
    <w:rsid w:val="00332F8E"/>
    <w:rsid w:val="0033447A"/>
    <w:rsid w:val="00342A77"/>
    <w:rsid w:val="00344B9E"/>
    <w:rsid w:val="00351066"/>
    <w:rsid w:val="0035424E"/>
    <w:rsid w:val="00357B99"/>
    <w:rsid w:val="003613BF"/>
    <w:rsid w:val="00366725"/>
    <w:rsid w:val="003768BA"/>
    <w:rsid w:val="00381142"/>
    <w:rsid w:val="003836F3"/>
    <w:rsid w:val="0039034F"/>
    <w:rsid w:val="00390467"/>
    <w:rsid w:val="00390634"/>
    <w:rsid w:val="0039104F"/>
    <w:rsid w:val="00391C82"/>
    <w:rsid w:val="0039428D"/>
    <w:rsid w:val="003A198F"/>
    <w:rsid w:val="003A4CAE"/>
    <w:rsid w:val="003A5740"/>
    <w:rsid w:val="003A69A0"/>
    <w:rsid w:val="003B05DB"/>
    <w:rsid w:val="003C06EC"/>
    <w:rsid w:val="003D1292"/>
    <w:rsid w:val="003D48E1"/>
    <w:rsid w:val="003D52CD"/>
    <w:rsid w:val="003D52FA"/>
    <w:rsid w:val="003E4095"/>
    <w:rsid w:val="003E5390"/>
    <w:rsid w:val="003E5F31"/>
    <w:rsid w:val="003E6B25"/>
    <w:rsid w:val="003F5421"/>
    <w:rsid w:val="004014D7"/>
    <w:rsid w:val="00403198"/>
    <w:rsid w:val="004033A2"/>
    <w:rsid w:val="0041088C"/>
    <w:rsid w:val="00416B16"/>
    <w:rsid w:val="00420399"/>
    <w:rsid w:val="00422204"/>
    <w:rsid w:val="00426164"/>
    <w:rsid w:val="004326A3"/>
    <w:rsid w:val="00433B3E"/>
    <w:rsid w:val="00434CA3"/>
    <w:rsid w:val="0043606E"/>
    <w:rsid w:val="00443811"/>
    <w:rsid w:val="004458CC"/>
    <w:rsid w:val="00446E7E"/>
    <w:rsid w:val="00450FBC"/>
    <w:rsid w:val="004529F4"/>
    <w:rsid w:val="00456DC4"/>
    <w:rsid w:val="00457119"/>
    <w:rsid w:val="004643CF"/>
    <w:rsid w:val="0047088E"/>
    <w:rsid w:val="00482DB7"/>
    <w:rsid w:val="0049073E"/>
    <w:rsid w:val="00490748"/>
    <w:rsid w:val="00492002"/>
    <w:rsid w:val="004921AC"/>
    <w:rsid w:val="00492344"/>
    <w:rsid w:val="004939ED"/>
    <w:rsid w:val="00495827"/>
    <w:rsid w:val="00496AD6"/>
    <w:rsid w:val="004A0EF8"/>
    <w:rsid w:val="004A1648"/>
    <w:rsid w:val="004A2424"/>
    <w:rsid w:val="004A3014"/>
    <w:rsid w:val="004A5396"/>
    <w:rsid w:val="004B782A"/>
    <w:rsid w:val="004C32A7"/>
    <w:rsid w:val="004C391A"/>
    <w:rsid w:val="004C5239"/>
    <w:rsid w:val="004C5B84"/>
    <w:rsid w:val="004C6411"/>
    <w:rsid w:val="004D041B"/>
    <w:rsid w:val="004D0C0E"/>
    <w:rsid w:val="004D5405"/>
    <w:rsid w:val="004D6C59"/>
    <w:rsid w:val="004D7218"/>
    <w:rsid w:val="004E1B54"/>
    <w:rsid w:val="004E7C2C"/>
    <w:rsid w:val="004F35F7"/>
    <w:rsid w:val="004F6EE6"/>
    <w:rsid w:val="00503B36"/>
    <w:rsid w:val="00506214"/>
    <w:rsid w:val="00506D3F"/>
    <w:rsid w:val="00510FB2"/>
    <w:rsid w:val="00514DB9"/>
    <w:rsid w:val="00521573"/>
    <w:rsid w:val="00523236"/>
    <w:rsid w:val="005279AA"/>
    <w:rsid w:val="00530936"/>
    <w:rsid w:val="005316EC"/>
    <w:rsid w:val="00534FF9"/>
    <w:rsid w:val="00536A7B"/>
    <w:rsid w:val="005429F0"/>
    <w:rsid w:val="005430D0"/>
    <w:rsid w:val="005431B2"/>
    <w:rsid w:val="00552377"/>
    <w:rsid w:val="005547A9"/>
    <w:rsid w:val="00563648"/>
    <w:rsid w:val="00570EF5"/>
    <w:rsid w:val="0057200B"/>
    <w:rsid w:val="00572651"/>
    <w:rsid w:val="00574D84"/>
    <w:rsid w:val="0058215A"/>
    <w:rsid w:val="00592DE3"/>
    <w:rsid w:val="0059662A"/>
    <w:rsid w:val="00596F60"/>
    <w:rsid w:val="005A23F1"/>
    <w:rsid w:val="005A534F"/>
    <w:rsid w:val="005B325F"/>
    <w:rsid w:val="005B38FA"/>
    <w:rsid w:val="005B4814"/>
    <w:rsid w:val="005C630C"/>
    <w:rsid w:val="005C6A3F"/>
    <w:rsid w:val="005D115F"/>
    <w:rsid w:val="005D1DCF"/>
    <w:rsid w:val="005D54A3"/>
    <w:rsid w:val="005D5E56"/>
    <w:rsid w:val="005E06C9"/>
    <w:rsid w:val="005E1554"/>
    <w:rsid w:val="005E1D60"/>
    <w:rsid w:val="005E651A"/>
    <w:rsid w:val="005E735B"/>
    <w:rsid w:val="005F163F"/>
    <w:rsid w:val="005F21A2"/>
    <w:rsid w:val="005F2561"/>
    <w:rsid w:val="005F3D23"/>
    <w:rsid w:val="005F4C0A"/>
    <w:rsid w:val="005F5B38"/>
    <w:rsid w:val="005F6E37"/>
    <w:rsid w:val="00607102"/>
    <w:rsid w:val="00610164"/>
    <w:rsid w:val="00612925"/>
    <w:rsid w:val="00624EFA"/>
    <w:rsid w:val="0063233B"/>
    <w:rsid w:val="00633FBB"/>
    <w:rsid w:val="00635009"/>
    <w:rsid w:val="00635062"/>
    <w:rsid w:val="006354E8"/>
    <w:rsid w:val="006422E9"/>
    <w:rsid w:val="00642FAA"/>
    <w:rsid w:val="006454A9"/>
    <w:rsid w:val="00647515"/>
    <w:rsid w:val="006476F2"/>
    <w:rsid w:val="006478B8"/>
    <w:rsid w:val="00647944"/>
    <w:rsid w:val="00647D0B"/>
    <w:rsid w:val="00650BB2"/>
    <w:rsid w:val="00654547"/>
    <w:rsid w:val="00654876"/>
    <w:rsid w:val="00655D66"/>
    <w:rsid w:val="00655DB5"/>
    <w:rsid w:val="006609A9"/>
    <w:rsid w:val="00662879"/>
    <w:rsid w:val="006656EA"/>
    <w:rsid w:val="00665D82"/>
    <w:rsid w:val="006660ED"/>
    <w:rsid w:val="0066781B"/>
    <w:rsid w:val="00675BE1"/>
    <w:rsid w:val="0067724C"/>
    <w:rsid w:val="00683889"/>
    <w:rsid w:val="006856C7"/>
    <w:rsid w:val="006869F5"/>
    <w:rsid w:val="00692949"/>
    <w:rsid w:val="006937E2"/>
    <w:rsid w:val="006A4AEC"/>
    <w:rsid w:val="006A782B"/>
    <w:rsid w:val="006A7DB0"/>
    <w:rsid w:val="006B3207"/>
    <w:rsid w:val="006C37BD"/>
    <w:rsid w:val="006C6556"/>
    <w:rsid w:val="006D0866"/>
    <w:rsid w:val="006D343D"/>
    <w:rsid w:val="006D5C77"/>
    <w:rsid w:val="006D60DE"/>
    <w:rsid w:val="006D6FE9"/>
    <w:rsid w:val="006E2F9A"/>
    <w:rsid w:val="006E41B6"/>
    <w:rsid w:val="006E69A6"/>
    <w:rsid w:val="006E7BA1"/>
    <w:rsid w:val="006F0BB5"/>
    <w:rsid w:val="006F1190"/>
    <w:rsid w:val="006F3874"/>
    <w:rsid w:val="006F4152"/>
    <w:rsid w:val="006F60D5"/>
    <w:rsid w:val="007013AE"/>
    <w:rsid w:val="00715E11"/>
    <w:rsid w:val="00716A8A"/>
    <w:rsid w:val="00717D31"/>
    <w:rsid w:val="007205D1"/>
    <w:rsid w:val="00722FA8"/>
    <w:rsid w:val="00724760"/>
    <w:rsid w:val="007248CE"/>
    <w:rsid w:val="00725D5B"/>
    <w:rsid w:val="00727784"/>
    <w:rsid w:val="00730E8E"/>
    <w:rsid w:val="007324C8"/>
    <w:rsid w:val="007348A6"/>
    <w:rsid w:val="00736449"/>
    <w:rsid w:val="00743A8A"/>
    <w:rsid w:val="00744D24"/>
    <w:rsid w:val="00746DC2"/>
    <w:rsid w:val="00747D7F"/>
    <w:rsid w:val="00756CEF"/>
    <w:rsid w:val="00762822"/>
    <w:rsid w:val="00764982"/>
    <w:rsid w:val="007702E1"/>
    <w:rsid w:val="0077250B"/>
    <w:rsid w:val="00773744"/>
    <w:rsid w:val="007826BE"/>
    <w:rsid w:val="00785D40"/>
    <w:rsid w:val="0079080F"/>
    <w:rsid w:val="00790F52"/>
    <w:rsid w:val="007956FB"/>
    <w:rsid w:val="0079620A"/>
    <w:rsid w:val="00797D3D"/>
    <w:rsid w:val="007A1474"/>
    <w:rsid w:val="007A35BE"/>
    <w:rsid w:val="007A4C31"/>
    <w:rsid w:val="007A5988"/>
    <w:rsid w:val="007B2889"/>
    <w:rsid w:val="007B3286"/>
    <w:rsid w:val="007B43B4"/>
    <w:rsid w:val="007B7573"/>
    <w:rsid w:val="007B7C4D"/>
    <w:rsid w:val="007C08C9"/>
    <w:rsid w:val="007C157E"/>
    <w:rsid w:val="007C634F"/>
    <w:rsid w:val="007D084B"/>
    <w:rsid w:val="007D60E4"/>
    <w:rsid w:val="007D6CE0"/>
    <w:rsid w:val="007E0212"/>
    <w:rsid w:val="007E196F"/>
    <w:rsid w:val="007E36E9"/>
    <w:rsid w:val="007F7C7B"/>
    <w:rsid w:val="00807EF8"/>
    <w:rsid w:val="00813427"/>
    <w:rsid w:val="00813632"/>
    <w:rsid w:val="0081429F"/>
    <w:rsid w:val="00814E66"/>
    <w:rsid w:val="00816EE0"/>
    <w:rsid w:val="008208E0"/>
    <w:rsid w:val="00821DC7"/>
    <w:rsid w:val="008223E5"/>
    <w:rsid w:val="00824FEC"/>
    <w:rsid w:val="008250BC"/>
    <w:rsid w:val="0084150D"/>
    <w:rsid w:val="008465AD"/>
    <w:rsid w:val="008524EC"/>
    <w:rsid w:val="00856210"/>
    <w:rsid w:val="008563DB"/>
    <w:rsid w:val="008570F2"/>
    <w:rsid w:val="00857252"/>
    <w:rsid w:val="00865F34"/>
    <w:rsid w:val="00866903"/>
    <w:rsid w:val="0086715F"/>
    <w:rsid w:val="008705A8"/>
    <w:rsid w:val="00870A98"/>
    <w:rsid w:val="00873BFC"/>
    <w:rsid w:val="008777BA"/>
    <w:rsid w:val="00881E5D"/>
    <w:rsid w:val="008907A3"/>
    <w:rsid w:val="008A27B9"/>
    <w:rsid w:val="008A2815"/>
    <w:rsid w:val="008A31D4"/>
    <w:rsid w:val="008A4158"/>
    <w:rsid w:val="008A4C50"/>
    <w:rsid w:val="008A5B85"/>
    <w:rsid w:val="008B0670"/>
    <w:rsid w:val="008B3893"/>
    <w:rsid w:val="008B7247"/>
    <w:rsid w:val="008B780A"/>
    <w:rsid w:val="008C2850"/>
    <w:rsid w:val="008C5073"/>
    <w:rsid w:val="008C6463"/>
    <w:rsid w:val="008D018F"/>
    <w:rsid w:val="008D14E3"/>
    <w:rsid w:val="008D33E4"/>
    <w:rsid w:val="008D4C38"/>
    <w:rsid w:val="008D5671"/>
    <w:rsid w:val="008D6338"/>
    <w:rsid w:val="008E142E"/>
    <w:rsid w:val="008E2448"/>
    <w:rsid w:val="008E7403"/>
    <w:rsid w:val="008F0E21"/>
    <w:rsid w:val="008F23E1"/>
    <w:rsid w:val="008F651B"/>
    <w:rsid w:val="008F7314"/>
    <w:rsid w:val="0090284E"/>
    <w:rsid w:val="00906475"/>
    <w:rsid w:val="0091605B"/>
    <w:rsid w:val="00917FB3"/>
    <w:rsid w:val="009311F9"/>
    <w:rsid w:val="009352CF"/>
    <w:rsid w:val="00942237"/>
    <w:rsid w:val="009520A5"/>
    <w:rsid w:val="009536CD"/>
    <w:rsid w:val="009563DB"/>
    <w:rsid w:val="009656A5"/>
    <w:rsid w:val="009679BF"/>
    <w:rsid w:val="0097045C"/>
    <w:rsid w:val="00974072"/>
    <w:rsid w:val="009747C8"/>
    <w:rsid w:val="009777A2"/>
    <w:rsid w:val="00980948"/>
    <w:rsid w:val="00986A5D"/>
    <w:rsid w:val="00986E05"/>
    <w:rsid w:val="00987090"/>
    <w:rsid w:val="00987219"/>
    <w:rsid w:val="00990127"/>
    <w:rsid w:val="0099788C"/>
    <w:rsid w:val="009A3AAC"/>
    <w:rsid w:val="009A42E0"/>
    <w:rsid w:val="009B04C8"/>
    <w:rsid w:val="009B1863"/>
    <w:rsid w:val="009B2081"/>
    <w:rsid w:val="009B36F1"/>
    <w:rsid w:val="009B4CE4"/>
    <w:rsid w:val="009B5C05"/>
    <w:rsid w:val="009B651C"/>
    <w:rsid w:val="009B7B51"/>
    <w:rsid w:val="009C0B55"/>
    <w:rsid w:val="009C1047"/>
    <w:rsid w:val="009C5519"/>
    <w:rsid w:val="009C5FC0"/>
    <w:rsid w:val="009C6AF5"/>
    <w:rsid w:val="009D35F6"/>
    <w:rsid w:val="009D73A7"/>
    <w:rsid w:val="009E026D"/>
    <w:rsid w:val="009E0562"/>
    <w:rsid w:val="009E7AC3"/>
    <w:rsid w:val="009F1955"/>
    <w:rsid w:val="009F3996"/>
    <w:rsid w:val="009F726A"/>
    <w:rsid w:val="00A056D4"/>
    <w:rsid w:val="00A07494"/>
    <w:rsid w:val="00A11981"/>
    <w:rsid w:val="00A2213B"/>
    <w:rsid w:val="00A23C62"/>
    <w:rsid w:val="00A32F1B"/>
    <w:rsid w:val="00A3429F"/>
    <w:rsid w:val="00A40CBD"/>
    <w:rsid w:val="00A45EB0"/>
    <w:rsid w:val="00A4714A"/>
    <w:rsid w:val="00A52D6A"/>
    <w:rsid w:val="00A5492D"/>
    <w:rsid w:val="00A62E47"/>
    <w:rsid w:val="00A65CA0"/>
    <w:rsid w:val="00A75541"/>
    <w:rsid w:val="00A777A0"/>
    <w:rsid w:val="00A80C85"/>
    <w:rsid w:val="00A83D79"/>
    <w:rsid w:val="00A847E2"/>
    <w:rsid w:val="00A85E07"/>
    <w:rsid w:val="00A94106"/>
    <w:rsid w:val="00A95222"/>
    <w:rsid w:val="00AA0363"/>
    <w:rsid w:val="00AA079F"/>
    <w:rsid w:val="00AA15D6"/>
    <w:rsid w:val="00AA1AD9"/>
    <w:rsid w:val="00AA1FFF"/>
    <w:rsid w:val="00AA575F"/>
    <w:rsid w:val="00AB0120"/>
    <w:rsid w:val="00AB1F3F"/>
    <w:rsid w:val="00AC034D"/>
    <w:rsid w:val="00AC0484"/>
    <w:rsid w:val="00AC58B8"/>
    <w:rsid w:val="00AC624B"/>
    <w:rsid w:val="00AC7C41"/>
    <w:rsid w:val="00AD0E57"/>
    <w:rsid w:val="00AD601F"/>
    <w:rsid w:val="00AE1199"/>
    <w:rsid w:val="00AE163D"/>
    <w:rsid w:val="00AE3675"/>
    <w:rsid w:val="00AE5616"/>
    <w:rsid w:val="00AE65E2"/>
    <w:rsid w:val="00AE6F22"/>
    <w:rsid w:val="00AF37D7"/>
    <w:rsid w:val="00AF5642"/>
    <w:rsid w:val="00B012CC"/>
    <w:rsid w:val="00B01C26"/>
    <w:rsid w:val="00B050F3"/>
    <w:rsid w:val="00B05B6A"/>
    <w:rsid w:val="00B1380C"/>
    <w:rsid w:val="00B20FEB"/>
    <w:rsid w:val="00B25A03"/>
    <w:rsid w:val="00B31E07"/>
    <w:rsid w:val="00B36A84"/>
    <w:rsid w:val="00B40908"/>
    <w:rsid w:val="00B41261"/>
    <w:rsid w:val="00B42364"/>
    <w:rsid w:val="00B42F27"/>
    <w:rsid w:val="00B44E18"/>
    <w:rsid w:val="00B510C1"/>
    <w:rsid w:val="00B541C2"/>
    <w:rsid w:val="00B54620"/>
    <w:rsid w:val="00B565F7"/>
    <w:rsid w:val="00B621D2"/>
    <w:rsid w:val="00B657EF"/>
    <w:rsid w:val="00B65F6E"/>
    <w:rsid w:val="00B66BB9"/>
    <w:rsid w:val="00B7246C"/>
    <w:rsid w:val="00B73ABA"/>
    <w:rsid w:val="00B73E30"/>
    <w:rsid w:val="00B77BA3"/>
    <w:rsid w:val="00B83A83"/>
    <w:rsid w:val="00B84A15"/>
    <w:rsid w:val="00B8537F"/>
    <w:rsid w:val="00B86B10"/>
    <w:rsid w:val="00B907DD"/>
    <w:rsid w:val="00B909CE"/>
    <w:rsid w:val="00B91D88"/>
    <w:rsid w:val="00B9496E"/>
    <w:rsid w:val="00B969DF"/>
    <w:rsid w:val="00B97405"/>
    <w:rsid w:val="00BA03E9"/>
    <w:rsid w:val="00BA08FA"/>
    <w:rsid w:val="00BA1587"/>
    <w:rsid w:val="00BA3297"/>
    <w:rsid w:val="00BA37EF"/>
    <w:rsid w:val="00BB4B00"/>
    <w:rsid w:val="00BC0237"/>
    <w:rsid w:val="00BD00FB"/>
    <w:rsid w:val="00BD16B8"/>
    <w:rsid w:val="00BD396E"/>
    <w:rsid w:val="00C0497D"/>
    <w:rsid w:val="00C05B68"/>
    <w:rsid w:val="00C17068"/>
    <w:rsid w:val="00C22908"/>
    <w:rsid w:val="00C33158"/>
    <w:rsid w:val="00C34DA4"/>
    <w:rsid w:val="00C3615B"/>
    <w:rsid w:val="00C36C68"/>
    <w:rsid w:val="00C51069"/>
    <w:rsid w:val="00C53A25"/>
    <w:rsid w:val="00C55555"/>
    <w:rsid w:val="00C604B5"/>
    <w:rsid w:val="00C6366C"/>
    <w:rsid w:val="00C66303"/>
    <w:rsid w:val="00C72313"/>
    <w:rsid w:val="00C75C12"/>
    <w:rsid w:val="00C8044B"/>
    <w:rsid w:val="00C81FB1"/>
    <w:rsid w:val="00C835EE"/>
    <w:rsid w:val="00C864AE"/>
    <w:rsid w:val="00C87D39"/>
    <w:rsid w:val="00C91BB8"/>
    <w:rsid w:val="00C91DAE"/>
    <w:rsid w:val="00C93CB3"/>
    <w:rsid w:val="00C965C6"/>
    <w:rsid w:val="00C96BC5"/>
    <w:rsid w:val="00C97334"/>
    <w:rsid w:val="00CA77B9"/>
    <w:rsid w:val="00CA782C"/>
    <w:rsid w:val="00CB250E"/>
    <w:rsid w:val="00CB5417"/>
    <w:rsid w:val="00CC2339"/>
    <w:rsid w:val="00CC7A8B"/>
    <w:rsid w:val="00CD2F73"/>
    <w:rsid w:val="00CD448A"/>
    <w:rsid w:val="00CF2AC1"/>
    <w:rsid w:val="00CF36FB"/>
    <w:rsid w:val="00CF5619"/>
    <w:rsid w:val="00D01AA6"/>
    <w:rsid w:val="00D02139"/>
    <w:rsid w:val="00D05B89"/>
    <w:rsid w:val="00D064B6"/>
    <w:rsid w:val="00D06C28"/>
    <w:rsid w:val="00D06FDC"/>
    <w:rsid w:val="00D11AE7"/>
    <w:rsid w:val="00D124F1"/>
    <w:rsid w:val="00D12C8F"/>
    <w:rsid w:val="00D14D1B"/>
    <w:rsid w:val="00D1629A"/>
    <w:rsid w:val="00D172BB"/>
    <w:rsid w:val="00D22776"/>
    <w:rsid w:val="00D31F93"/>
    <w:rsid w:val="00D410EA"/>
    <w:rsid w:val="00D44B62"/>
    <w:rsid w:val="00D52F3D"/>
    <w:rsid w:val="00D5344C"/>
    <w:rsid w:val="00D56A91"/>
    <w:rsid w:val="00D62970"/>
    <w:rsid w:val="00D67033"/>
    <w:rsid w:val="00D7174C"/>
    <w:rsid w:val="00D72446"/>
    <w:rsid w:val="00D750AE"/>
    <w:rsid w:val="00D755F7"/>
    <w:rsid w:val="00D77249"/>
    <w:rsid w:val="00D83A64"/>
    <w:rsid w:val="00D91326"/>
    <w:rsid w:val="00D943E6"/>
    <w:rsid w:val="00D96418"/>
    <w:rsid w:val="00DA0621"/>
    <w:rsid w:val="00DA535F"/>
    <w:rsid w:val="00DA620A"/>
    <w:rsid w:val="00DA7A6D"/>
    <w:rsid w:val="00DA7C18"/>
    <w:rsid w:val="00DB063B"/>
    <w:rsid w:val="00DB2118"/>
    <w:rsid w:val="00DB58F9"/>
    <w:rsid w:val="00DB6622"/>
    <w:rsid w:val="00DC1717"/>
    <w:rsid w:val="00DC5070"/>
    <w:rsid w:val="00DD685E"/>
    <w:rsid w:val="00DD6F24"/>
    <w:rsid w:val="00DE0305"/>
    <w:rsid w:val="00DE05AB"/>
    <w:rsid w:val="00DE153F"/>
    <w:rsid w:val="00DE2CD9"/>
    <w:rsid w:val="00DE7974"/>
    <w:rsid w:val="00DF0B0E"/>
    <w:rsid w:val="00DF44A6"/>
    <w:rsid w:val="00DF7379"/>
    <w:rsid w:val="00E04A5A"/>
    <w:rsid w:val="00E04FE2"/>
    <w:rsid w:val="00E05A89"/>
    <w:rsid w:val="00E11C20"/>
    <w:rsid w:val="00E11E1E"/>
    <w:rsid w:val="00E16473"/>
    <w:rsid w:val="00E167EC"/>
    <w:rsid w:val="00E23DAA"/>
    <w:rsid w:val="00E25E2D"/>
    <w:rsid w:val="00E25E36"/>
    <w:rsid w:val="00E2609F"/>
    <w:rsid w:val="00E44C51"/>
    <w:rsid w:val="00E45496"/>
    <w:rsid w:val="00E47AB9"/>
    <w:rsid w:val="00E50A6E"/>
    <w:rsid w:val="00E50B29"/>
    <w:rsid w:val="00E56E1E"/>
    <w:rsid w:val="00E61341"/>
    <w:rsid w:val="00E62950"/>
    <w:rsid w:val="00E672E7"/>
    <w:rsid w:val="00E7025F"/>
    <w:rsid w:val="00E709B8"/>
    <w:rsid w:val="00E75DAB"/>
    <w:rsid w:val="00E76603"/>
    <w:rsid w:val="00E806F7"/>
    <w:rsid w:val="00E80C18"/>
    <w:rsid w:val="00E82165"/>
    <w:rsid w:val="00E83BE7"/>
    <w:rsid w:val="00E8578C"/>
    <w:rsid w:val="00E85F10"/>
    <w:rsid w:val="00E97304"/>
    <w:rsid w:val="00EA0873"/>
    <w:rsid w:val="00EA2B50"/>
    <w:rsid w:val="00EA36F4"/>
    <w:rsid w:val="00EA540B"/>
    <w:rsid w:val="00EB1EB6"/>
    <w:rsid w:val="00EC7D7D"/>
    <w:rsid w:val="00ED3DE8"/>
    <w:rsid w:val="00EE134B"/>
    <w:rsid w:val="00EE3639"/>
    <w:rsid w:val="00EE74CA"/>
    <w:rsid w:val="00EF27D4"/>
    <w:rsid w:val="00EF5909"/>
    <w:rsid w:val="00F0186B"/>
    <w:rsid w:val="00F01C5D"/>
    <w:rsid w:val="00F02A55"/>
    <w:rsid w:val="00F0451F"/>
    <w:rsid w:val="00F05E9F"/>
    <w:rsid w:val="00F06949"/>
    <w:rsid w:val="00F070B5"/>
    <w:rsid w:val="00F100DC"/>
    <w:rsid w:val="00F1259F"/>
    <w:rsid w:val="00F16AAB"/>
    <w:rsid w:val="00F21715"/>
    <w:rsid w:val="00F221BD"/>
    <w:rsid w:val="00F326BB"/>
    <w:rsid w:val="00F35389"/>
    <w:rsid w:val="00F4014E"/>
    <w:rsid w:val="00F421D6"/>
    <w:rsid w:val="00F51182"/>
    <w:rsid w:val="00F52DBB"/>
    <w:rsid w:val="00F52F3C"/>
    <w:rsid w:val="00F53369"/>
    <w:rsid w:val="00F54F10"/>
    <w:rsid w:val="00F5540B"/>
    <w:rsid w:val="00F555C7"/>
    <w:rsid w:val="00F64C9B"/>
    <w:rsid w:val="00F67846"/>
    <w:rsid w:val="00F757E3"/>
    <w:rsid w:val="00F83AE1"/>
    <w:rsid w:val="00F87B4A"/>
    <w:rsid w:val="00F9324B"/>
    <w:rsid w:val="00F96C4C"/>
    <w:rsid w:val="00FA1157"/>
    <w:rsid w:val="00FB41DC"/>
    <w:rsid w:val="00FB65FC"/>
    <w:rsid w:val="00FC0FD8"/>
    <w:rsid w:val="00FD6E26"/>
    <w:rsid w:val="00FD751E"/>
    <w:rsid w:val="00FE0949"/>
    <w:rsid w:val="00FE1481"/>
    <w:rsid w:val="00FE3791"/>
    <w:rsid w:val="00FE54EE"/>
    <w:rsid w:val="00FE71C8"/>
    <w:rsid w:val="00FF0D30"/>
    <w:rsid w:val="00FF1966"/>
    <w:rsid w:val="00FF61FC"/>
    <w:rsid w:val="00FF693A"/>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8783"/>
  <w15:docId w15:val="{6A756B5E-9689-4517-95B1-FDD7FC6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7F"/>
  </w:style>
  <w:style w:type="paragraph" w:styleId="Heading1">
    <w:name w:val="heading 1"/>
    <w:basedOn w:val="Normal"/>
    <w:link w:val="Heading1Char"/>
    <w:uiPriority w:val="9"/>
    <w:qFormat/>
    <w:rsid w:val="004C5239"/>
    <w:pPr>
      <w:spacing w:before="100" w:beforeAutospacing="1" w:after="100" w:afterAutospacing="1"/>
      <w:outlineLvl w:val="0"/>
    </w:pPr>
    <w:rPr>
      <w:rFonts w:ascii="Arial" w:hAnsi="Arial"/>
      <w:b/>
      <w:bCs/>
      <w:color w:val="1F3864" w:themeColor="accent1" w:themeShade="80"/>
      <w:kern w:val="36"/>
      <w:szCs w:val="48"/>
    </w:rPr>
  </w:style>
  <w:style w:type="paragraph" w:styleId="Heading2">
    <w:name w:val="heading 2"/>
    <w:basedOn w:val="Normal"/>
    <w:next w:val="Normal"/>
    <w:link w:val="Heading2Char"/>
    <w:uiPriority w:val="9"/>
    <w:semiHidden/>
    <w:unhideWhenUsed/>
    <w:qFormat/>
    <w:rsid w:val="00BD0B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103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51757F"/>
    <w:pPr>
      <w:tabs>
        <w:tab w:val="center" w:pos="4320"/>
        <w:tab w:val="right" w:pos="8640"/>
      </w:tabs>
    </w:pPr>
    <w:rPr>
      <w:rFonts w:eastAsiaTheme="minorEastAsia"/>
    </w:rPr>
  </w:style>
  <w:style w:type="character" w:customStyle="1" w:styleId="HeaderChar">
    <w:name w:val="Header Char"/>
    <w:basedOn w:val="DefaultParagraphFont"/>
    <w:link w:val="Header"/>
    <w:rsid w:val="0051757F"/>
    <w:rPr>
      <w:rFonts w:ascii="Times New Roman" w:eastAsiaTheme="minorEastAsia" w:hAnsi="Times New Roman" w:cs="Times New Roman"/>
    </w:rPr>
  </w:style>
  <w:style w:type="paragraph" w:styleId="Footer">
    <w:name w:val="footer"/>
    <w:basedOn w:val="Normal"/>
    <w:link w:val="FooterChar"/>
    <w:uiPriority w:val="99"/>
    <w:unhideWhenUsed/>
    <w:rsid w:val="0051757F"/>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51757F"/>
    <w:rPr>
      <w:rFonts w:ascii="Times New Roman" w:eastAsiaTheme="minorEastAsia" w:hAnsi="Times New Roman" w:cs="Times New Roman"/>
    </w:rPr>
  </w:style>
  <w:style w:type="table" w:styleId="TableGrid">
    <w:name w:val="Table Grid"/>
    <w:basedOn w:val="TableNormal"/>
    <w:rsid w:val="00517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57F"/>
    <w:rPr>
      <w:color w:val="ED7D31" w:themeColor="hyperlink"/>
      <w:u w:val="single"/>
    </w:rPr>
  </w:style>
  <w:style w:type="paragraph" w:styleId="ListParagraph">
    <w:name w:val="List Paragraph"/>
    <w:basedOn w:val="Normal"/>
    <w:uiPriority w:val="34"/>
    <w:qFormat/>
    <w:rsid w:val="0051757F"/>
    <w:pPr>
      <w:ind w:left="720"/>
      <w:contextualSpacing/>
    </w:pPr>
    <w:rPr>
      <w:rFonts w:eastAsiaTheme="minorEastAsia"/>
    </w:rPr>
  </w:style>
  <w:style w:type="paragraph" w:customStyle="1" w:styleId="SupportersText">
    <w:name w:val="Supporters Text"/>
    <w:basedOn w:val="Normal"/>
    <w:qFormat/>
    <w:rsid w:val="0051757F"/>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220" w:line="252" w:lineRule="auto"/>
    </w:pPr>
    <w:rPr>
      <w:rFonts w:asciiTheme="minorHAnsi" w:eastAsia="Courier" w:hAnsiTheme="minorHAnsi"/>
      <w:b/>
      <w:sz w:val="16"/>
    </w:rPr>
  </w:style>
  <w:style w:type="character" w:styleId="FollowedHyperlink">
    <w:name w:val="FollowedHyperlink"/>
    <w:basedOn w:val="DefaultParagraphFont"/>
    <w:uiPriority w:val="99"/>
    <w:semiHidden/>
    <w:unhideWhenUsed/>
    <w:rsid w:val="0051757F"/>
    <w:rPr>
      <w:color w:val="000000" w:themeColor="followedHyperlink"/>
      <w:u w:val="single"/>
    </w:rPr>
  </w:style>
  <w:style w:type="paragraph" w:styleId="NormalWeb">
    <w:name w:val="Normal (Web)"/>
    <w:basedOn w:val="Normal"/>
    <w:uiPriority w:val="99"/>
    <w:unhideWhenUsed/>
    <w:rsid w:val="00C7027D"/>
    <w:pPr>
      <w:spacing w:before="100" w:beforeAutospacing="1" w:after="100" w:afterAutospacing="1"/>
    </w:pPr>
  </w:style>
  <w:style w:type="paragraph" w:styleId="BalloonText">
    <w:name w:val="Balloon Text"/>
    <w:basedOn w:val="Normal"/>
    <w:link w:val="BalloonTextChar"/>
    <w:uiPriority w:val="99"/>
    <w:semiHidden/>
    <w:unhideWhenUsed/>
    <w:rsid w:val="005125A2"/>
    <w:rPr>
      <w:sz w:val="18"/>
      <w:szCs w:val="18"/>
    </w:rPr>
  </w:style>
  <w:style w:type="character" w:customStyle="1" w:styleId="BalloonTextChar">
    <w:name w:val="Balloon Text Char"/>
    <w:basedOn w:val="DefaultParagraphFont"/>
    <w:link w:val="BalloonText"/>
    <w:uiPriority w:val="99"/>
    <w:semiHidden/>
    <w:rsid w:val="005125A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D1191"/>
    <w:rPr>
      <w:sz w:val="16"/>
      <w:szCs w:val="16"/>
    </w:rPr>
  </w:style>
  <w:style w:type="paragraph" w:styleId="CommentText">
    <w:name w:val="annotation text"/>
    <w:basedOn w:val="Normal"/>
    <w:link w:val="CommentTextChar"/>
    <w:uiPriority w:val="99"/>
    <w:unhideWhenUsed/>
    <w:rsid w:val="00AD1191"/>
    <w:rPr>
      <w:sz w:val="20"/>
      <w:szCs w:val="20"/>
    </w:rPr>
  </w:style>
  <w:style w:type="character" w:customStyle="1" w:styleId="CommentTextChar">
    <w:name w:val="Comment Text Char"/>
    <w:basedOn w:val="DefaultParagraphFont"/>
    <w:link w:val="CommentText"/>
    <w:uiPriority w:val="99"/>
    <w:rsid w:val="00AD11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191"/>
    <w:rPr>
      <w:b/>
      <w:bCs/>
    </w:rPr>
  </w:style>
  <w:style w:type="character" w:customStyle="1" w:styleId="CommentSubjectChar">
    <w:name w:val="Comment Subject Char"/>
    <w:basedOn w:val="CommentTextChar"/>
    <w:link w:val="CommentSubject"/>
    <w:uiPriority w:val="99"/>
    <w:semiHidden/>
    <w:rsid w:val="00AD119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4135C"/>
    <w:rPr>
      <w:color w:val="605E5C"/>
      <w:shd w:val="clear" w:color="auto" w:fill="E1DFDD"/>
    </w:rPr>
  </w:style>
  <w:style w:type="paragraph" w:customStyle="1" w:styleId="level1">
    <w:name w:val="level1"/>
    <w:basedOn w:val="Normal"/>
    <w:rsid w:val="00D32F7D"/>
    <w:pPr>
      <w:spacing w:before="100" w:beforeAutospacing="1" w:after="100" w:afterAutospacing="1"/>
    </w:pPr>
  </w:style>
  <w:style w:type="character" w:customStyle="1" w:styleId="apple-converted-space">
    <w:name w:val="apple-converted-space"/>
    <w:basedOn w:val="DefaultParagraphFont"/>
    <w:rsid w:val="00D32F7D"/>
  </w:style>
  <w:style w:type="character" w:customStyle="1" w:styleId="pageno">
    <w:name w:val="page_no"/>
    <w:basedOn w:val="DefaultParagraphFont"/>
    <w:rsid w:val="00D32F7D"/>
  </w:style>
  <w:style w:type="character" w:customStyle="1" w:styleId="Heading1Char">
    <w:name w:val="Heading 1 Char"/>
    <w:basedOn w:val="DefaultParagraphFont"/>
    <w:link w:val="Heading1"/>
    <w:uiPriority w:val="9"/>
    <w:rsid w:val="004C5239"/>
    <w:rPr>
      <w:rFonts w:ascii="Arial" w:hAnsi="Arial"/>
      <w:b/>
      <w:bCs/>
      <w:color w:val="1F3864" w:themeColor="accent1" w:themeShade="80"/>
      <w:kern w:val="36"/>
      <w:szCs w:val="48"/>
    </w:rPr>
  </w:style>
  <w:style w:type="paragraph" w:customStyle="1" w:styleId="ssinlinetext">
    <w:name w:val="ss_inlinetext"/>
    <w:basedOn w:val="Normal"/>
    <w:rsid w:val="00055512"/>
    <w:pPr>
      <w:spacing w:before="100" w:beforeAutospacing="1" w:after="100" w:afterAutospacing="1"/>
    </w:pPr>
  </w:style>
  <w:style w:type="character" w:customStyle="1" w:styleId="ssbf">
    <w:name w:val="ss_bf"/>
    <w:basedOn w:val="DefaultParagraphFont"/>
    <w:rsid w:val="00055512"/>
  </w:style>
  <w:style w:type="character" w:customStyle="1" w:styleId="sssh">
    <w:name w:val="ss_sh"/>
    <w:basedOn w:val="DefaultParagraphFont"/>
    <w:rsid w:val="00170916"/>
  </w:style>
  <w:style w:type="character" w:customStyle="1" w:styleId="ssit">
    <w:name w:val="ss_it"/>
    <w:basedOn w:val="DefaultParagraphFont"/>
    <w:rsid w:val="000140EF"/>
  </w:style>
  <w:style w:type="character" w:customStyle="1" w:styleId="Heading4Char">
    <w:name w:val="Heading 4 Char"/>
    <w:basedOn w:val="DefaultParagraphFont"/>
    <w:link w:val="Heading4"/>
    <w:uiPriority w:val="9"/>
    <w:semiHidden/>
    <w:rsid w:val="0031037D"/>
    <w:rPr>
      <w:rFonts w:asciiTheme="majorHAnsi" w:eastAsiaTheme="majorEastAsia" w:hAnsiTheme="majorHAnsi" w:cstheme="majorBidi"/>
      <w:i/>
      <w:iCs/>
      <w:color w:val="2F5496" w:themeColor="accent1" w:themeShade="BF"/>
    </w:rPr>
  </w:style>
  <w:style w:type="character" w:customStyle="1" w:styleId="cosearchterm">
    <w:name w:val="co_searchterm"/>
    <w:basedOn w:val="DefaultParagraphFont"/>
    <w:rsid w:val="00CC2ABF"/>
  </w:style>
  <w:style w:type="character" w:customStyle="1" w:styleId="ssleftalign">
    <w:name w:val="ss_leftalign"/>
    <w:basedOn w:val="DefaultParagraphFont"/>
    <w:rsid w:val="00BD0BE7"/>
  </w:style>
  <w:style w:type="character" w:customStyle="1" w:styleId="ssun">
    <w:name w:val="ss_un"/>
    <w:basedOn w:val="DefaultParagraphFont"/>
    <w:rsid w:val="00BD0BE7"/>
  </w:style>
  <w:style w:type="character" w:customStyle="1" w:styleId="Heading2Char">
    <w:name w:val="Heading 2 Char"/>
    <w:basedOn w:val="DefaultParagraphFont"/>
    <w:link w:val="Heading2"/>
    <w:uiPriority w:val="9"/>
    <w:rsid w:val="00BD0BE7"/>
    <w:rPr>
      <w:rFonts w:asciiTheme="majorHAnsi" w:eastAsiaTheme="majorEastAsia" w:hAnsiTheme="majorHAnsi" w:cstheme="majorBidi"/>
      <w:color w:val="2F5496" w:themeColor="accent1" w:themeShade="BF"/>
      <w:sz w:val="26"/>
      <w:szCs w:val="26"/>
    </w:rPr>
  </w:style>
  <w:style w:type="character" w:customStyle="1" w:styleId="query">
    <w:name w:val="query"/>
    <w:basedOn w:val="DefaultParagraphFont"/>
    <w:rsid w:val="00BD0BE7"/>
  </w:style>
  <w:style w:type="character" w:customStyle="1" w:styleId="coinlinekeyciteflag">
    <w:name w:val="co_inlinekeyciteflag"/>
    <w:basedOn w:val="DefaultParagraphFont"/>
    <w:rsid w:val="005D4D63"/>
  </w:style>
  <w:style w:type="character" w:styleId="Emphasis">
    <w:name w:val="Emphasis"/>
    <w:basedOn w:val="DefaultParagraphFont"/>
    <w:uiPriority w:val="20"/>
    <w:qFormat/>
    <w:rsid w:val="008D3967"/>
    <w:rPr>
      <w:i/>
      <w:iCs/>
    </w:rPr>
  </w:style>
  <w:style w:type="character" w:styleId="HTMLCite">
    <w:name w:val="HTML Cite"/>
    <w:basedOn w:val="DefaultParagraphFont"/>
    <w:uiPriority w:val="99"/>
    <w:semiHidden/>
    <w:unhideWhenUsed/>
    <w:rsid w:val="008D3967"/>
    <w:rPr>
      <w:i/>
      <w:iCs/>
    </w:rPr>
  </w:style>
  <w:style w:type="paragraph" w:customStyle="1" w:styleId="t-align-left">
    <w:name w:val="t-align-left"/>
    <w:basedOn w:val="Normal"/>
    <w:rsid w:val="008C4037"/>
    <w:pPr>
      <w:spacing w:before="100" w:beforeAutospacing="1" w:after="100" w:afterAutospacing="1"/>
    </w:pPr>
  </w:style>
  <w:style w:type="character" w:customStyle="1" w:styleId="UnresolvedMention2">
    <w:name w:val="Unresolved Mention2"/>
    <w:basedOn w:val="DefaultParagraphFont"/>
    <w:uiPriority w:val="99"/>
    <w:semiHidden/>
    <w:unhideWhenUsed/>
    <w:rsid w:val="00361926"/>
    <w:rPr>
      <w:color w:val="605E5C"/>
      <w:shd w:val="clear" w:color="auto" w:fill="E1DFDD"/>
    </w:rPr>
  </w:style>
  <w:style w:type="character" w:customStyle="1" w:styleId="UnresolvedMention3">
    <w:name w:val="Unresolved Mention3"/>
    <w:basedOn w:val="DefaultParagraphFont"/>
    <w:uiPriority w:val="99"/>
    <w:semiHidden/>
    <w:unhideWhenUsed/>
    <w:rsid w:val="002B561A"/>
    <w:rPr>
      <w:color w:val="605E5C"/>
      <w:shd w:val="clear" w:color="auto" w:fill="E1DFDD"/>
    </w:rPr>
  </w:style>
  <w:style w:type="paragraph" w:customStyle="1" w:styleId="xmsolistparagraph">
    <w:name w:val="x_msolistparagraph"/>
    <w:basedOn w:val="Normal"/>
    <w:rsid w:val="00040346"/>
    <w:pPr>
      <w:spacing w:before="100" w:beforeAutospacing="1" w:after="100" w:afterAutospacing="1"/>
    </w:pPr>
  </w:style>
  <w:style w:type="paragraph" w:customStyle="1" w:styleId="para">
    <w:name w:val="para"/>
    <w:basedOn w:val="Normal"/>
    <w:rsid w:val="00347251"/>
    <w:pPr>
      <w:spacing w:before="100" w:beforeAutospacing="1" w:after="100" w:afterAutospacing="1"/>
    </w:pPr>
  </w:style>
  <w:style w:type="character" w:customStyle="1" w:styleId="UnresolvedMention4">
    <w:name w:val="Unresolved Mention4"/>
    <w:basedOn w:val="DefaultParagraphFont"/>
    <w:uiPriority w:val="99"/>
    <w:semiHidden/>
    <w:unhideWhenUsed/>
    <w:rsid w:val="0000056E"/>
    <w:rPr>
      <w:color w:val="605E5C"/>
      <w:shd w:val="clear" w:color="auto" w:fill="E1DFDD"/>
    </w:rPr>
  </w:style>
  <w:style w:type="character" w:customStyle="1" w:styleId="UnresolvedMention5">
    <w:name w:val="Unresolved Mention5"/>
    <w:basedOn w:val="DefaultParagraphFont"/>
    <w:uiPriority w:val="99"/>
    <w:semiHidden/>
    <w:unhideWhenUsed/>
    <w:rsid w:val="00FE55D4"/>
    <w:rPr>
      <w:color w:val="605E5C"/>
      <w:shd w:val="clear" w:color="auto" w:fill="E1DFDD"/>
    </w:rPr>
  </w:style>
  <w:style w:type="character" w:customStyle="1" w:styleId="UnresolvedMention6">
    <w:name w:val="Unresolved Mention6"/>
    <w:basedOn w:val="DefaultParagraphFont"/>
    <w:uiPriority w:val="99"/>
    <w:semiHidden/>
    <w:unhideWhenUsed/>
    <w:rsid w:val="00592386"/>
    <w:rPr>
      <w:color w:val="605E5C"/>
      <w:shd w:val="clear" w:color="auto" w:fill="E1DFDD"/>
    </w:rPr>
  </w:style>
  <w:style w:type="character" w:customStyle="1" w:styleId="hgkelc">
    <w:name w:val="hgkelc"/>
    <w:basedOn w:val="DefaultParagraphFont"/>
    <w:rsid w:val="00C838DE"/>
  </w:style>
  <w:style w:type="character" w:styleId="Strong">
    <w:name w:val="Strong"/>
    <w:basedOn w:val="DefaultParagraphFont"/>
    <w:uiPriority w:val="22"/>
    <w:qFormat/>
    <w:rsid w:val="00760B3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53694"/>
  </w:style>
  <w:style w:type="character" w:customStyle="1" w:styleId="UnresolvedMention7">
    <w:name w:val="Unresolved Mention7"/>
    <w:basedOn w:val="DefaultParagraphFont"/>
    <w:uiPriority w:val="99"/>
    <w:semiHidden/>
    <w:unhideWhenUsed/>
    <w:rsid w:val="008A256B"/>
    <w:rPr>
      <w:color w:val="605E5C"/>
      <w:shd w:val="clear" w:color="auto" w:fill="E1DFDD"/>
    </w:rPr>
  </w:style>
  <w:style w:type="character" w:customStyle="1" w:styleId="UnresolvedMention8">
    <w:name w:val="Unresolved Mention8"/>
    <w:basedOn w:val="DefaultParagraphFont"/>
    <w:uiPriority w:val="99"/>
    <w:semiHidden/>
    <w:unhideWhenUsed/>
    <w:rsid w:val="00570FEC"/>
    <w:rPr>
      <w:color w:val="605E5C"/>
      <w:shd w:val="clear" w:color="auto" w:fill="E1DFDD"/>
    </w:rPr>
  </w:style>
  <w:style w:type="character" w:customStyle="1" w:styleId="UnresolvedMention9">
    <w:name w:val="Unresolved Mention9"/>
    <w:basedOn w:val="DefaultParagraphFont"/>
    <w:uiPriority w:val="99"/>
    <w:semiHidden/>
    <w:unhideWhenUsed/>
    <w:rsid w:val="00F0451F"/>
    <w:rPr>
      <w:color w:val="605E5C"/>
      <w:shd w:val="clear" w:color="auto" w:fill="E1DFDD"/>
    </w:rPr>
  </w:style>
  <w:style w:type="character" w:customStyle="1" w:styleId="UnresolvedMention10">
    <w:name w:val="Unresolved Mention10"/>
    <w:basedOn w:val="DefaultParagraphFont"/>
    <w:uiPriority w:val="99"/>
    <w:semiHidden/>
    <w:unhideWhenUsed/>
    <w:rsid w:val="0015545B"/>
    <w:rPr>
      <w:color w:val="605E5C"/>
      <w:shd w:val="clear" w:color="auto" w:fill="E1DFDD"/>
    </w:rPr>
  </w:style>
  <w:style w:type="character" w:styleId="UnresolvedMention">
    <w:name w:val="Unresolved Mention"/>
    <w:basedOn w:val="DefaultParagraphFont"/>
    <w:uiPriority w:val="99"/>
    <w:semiHidden/>
    <w:unhideWhenUsed/>
    <w:rsid w:val="00AE163D"/>
    <w:rPr>
      <w:color w:val="605E5C"/>
      <w:shd w:val="clear" w:color="auto" w:fill="E1DFDD"/>
    </w:rPr>
  </w:style>
  <w:style w:type="paragraph" w:customStyle="1" w:styleId="JTPHHader">
    <w:name w:val="JTPH Hader"/>
    <w:basedOn w:val="Normal"/>
    <w:qFormat/>
    <w:rsid w:val="00974072"/>
    <w:pPr>
      <w:numPr>
        <w:numId w:val="2"/>
      </w:numPr>
      <w:pBdr>
        <w:top w:val="nil"/>
        <w:left w:val="nil"/>
        <w:bottom w:val="nil"/>
        <w:right w:val="nil"/>
        <w:between w:val="nil"/>
      </w:pBdr>
      <w:spacing w:line="259" w:lineRule="auto"/>
      <w:jc w:val="both"/>
    </w:pPr>
    <w:rPr>
      <w:rFonts w:ascii="Arial" w:eastAsia="Arial" w:hAnsi="Arial" w:cs="Arial"/>
      <w:b/>
      <w:color w:val="1F3864" w:themeColor="accent1"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365">
      <w:bodyDiv w:val="1"/>
      <w:marLeft w:val="0"/>
      <w:marRight w:val="0"/>
      <w:marTop w:val="0"/>
      <w:marBottom w:val="0"/>
      <w:divBdr>
        <w:top w:val="none" w:sz="0" w:space="0" w:color="auto"/>
        <w:left w:val="none" w:sz="0" w:space="0" w:color="auto"/>
        <w:bottom w:val="none" w:sz="0" w:space="0" w:color="auto"/>
        <w:right w:val="none" w:sz="0" w:space="0" w:color="auto"/>
      </w:divBdr>
    </w:div>
    <w:div w:id="275672049">
      <w:bodyDiv w:val="1"/>
      <w:marLeft w:val="0"/>
      <w:marRight w:val="0"/>
      <w:marTop w:val="0"/>
      <w:marBottom w:val="0"/>
      <w:divBdr>
        <w:top w:val="none" w:sz="0" w:space="0" w:color="auto"/>
        <w:left w:val="none" w:sz="0" w:space="0" w:color="auto"/>
        <w:bottom w:val="none" w:sz="0" w:space="0" w:color="auto"/>
        <w:right w:val="none" w:sz="0" w:space="0" w:color="auto"/>
      </w:divBdr>
    </w:div>
    <w:div w:id="346564722">
      <w:bodyDiv w:val="1"/>
      <w:marLeft w:val="0"/>
      <w:marRight w:val="0"/>
      <w:marTop w:val="0"/>
      <w:marBottom w:val="0"/>
      <w:divBdr>
        <w:top w:val="none" w:sz="0" w:space="0" w:color="auto"/>
        <w:left w:val="none" w:sz="0" w:space="0" w:color="auto"/>
        <w:bottom w:val="none" w:sz="0" w:space="0" w:color="auto"/>
        <w:right w:val="none" w:sz="0" w:space="0" w:color="auto"/>
      </w:divBdr>
    </w:div>
    <w:div w:id="443548388">
      <w:bodyDiv w:val="1"/>
      <w:marLeft w:val="0"/>
      <w:marRight w:val="0"/>
      <w:marTop w:val="0"/>
      <w:marBottom w:val="0"/>
      <w:divBdr>
        <w:top w:val="none" w:sz="0" w:space="0" w:color="auto"/>
        <w:left w:val="none" w:sz="0" w:space="0" w:color="auto"/>
        <w:bottom w:val="none" w:sz="0" w:space="0" w:color="auto"/>
        <w:right w:val="none" w:sz="0" w:space="0" w:color="auto"/>
      </w:divBdr>
    </w:div>
    <w:div w:id="460153307">
      <w:bodyDiv w:val="1"/>
      <w:marLeft w:val="0"/>
      <w:marRight w:val="0"/>
      <w:marTop w:val="0"/>
      <w:marBottom w:val="0"/>
      <w:divBdr>
        <w:top w:val="none" w:sz="0" w:space="0" w:color="auto"/>
        <w:left w:val="none" w:sz="0" w:space="0" w:color="auto"/>
        <w:bottom w:val="none" w:sz="0" w:space="0" w:color="auto"/>
        <w:right w:val="none" w:sz="0" w:space="0" w:color="auto"/>
      </w:divBdr>
    </w:div>
    <w:div w:id="568997166">
      <w:bodyDiv w:val="1"/>
      <w:marLeft w:val="0"/>
      <w:marRight w:val="0"/>
      <w:marTop w:val="0"/>
      <w:marBottom w:val="0"/>
      <w:divBdr>
        <w:top w:val="none" w:sz="0" w:space="0" w:color="auto"/>
        <w:left w:val="none" w:sz="0" w:space="0" w:color="auto"/>
        <w:bottom w:val="none" w:sz="0" w:space="0" w:color="auto"/>
        <w:right w:val="none" w:sz="0" w:space="0" w:color="auto"/>
      </w:divBdr>
    </w:div>
    <w:div w:id="627053385">
      <w:bodyDiv w:val="1"/>
      <w:marLeft w:val="0"/>
      <w:marRight w:val="0"/>
      <w:marTop w:val="0"/>
      <w:marBottom w:val="0"/>
      <w:divBdr>
        <w:top w:val="none" w:sz="0" w:space="0" w:color="auto"/>
        <w:left w:val="none" w:sz="0" w:space="0" w:color="auto"/>
        <w:bottom w:val="none" w:sz="0" w:space="0" w:color="auto"/>
        <w:right w:val="none" w:sz="0" w:space="0" w:color="auto"/>
      </w:divBdr>
    </w:div>
    <w:div w:id="899707496">
      <w:bodyDiv w:val="1"/>
      <w:marLeft w:val="0"/>
      <w:marRight w:val="0"/>
      <w:marTop w:val="0"/>
      <w:marBottom w:val="0"/>
      <w:divBdr>
        <w:top w:val="none" w:sz="0" w:space="0" w:color="auto"/>
        <w:left w:val="none" w:sz="0" w:space="0" w:color="auto"/>
        <w:bottom w:val="none" w:sz="0" w:space="0" w:color="auto"/>
        <w:right w:val="none" w:sz="0" w:space="0" w:color="auto"/>
      </w:divBdr>
    </w:div>
    <w:div w:id="928075452">
      <w:bodyDiv w:val="1"/>
      <w:marLeft w:val="0"/>
      <w:marRight w:val="0"/>
      <w:marTop w:val="0"/>
      <w:marBottom w:val="0"/>
      <w:divBdr>
        <w:top w:val="none" w:sz="0" w:space="0" w:color="auto"/>
        <w:left w:val="none" w:sz="0" w:space="0" w:color="auto"/>
        <w:bottom w:val="none" w:sz="0" w:space="0" w:color="auto"/>
        <w:right w:val="none" w:sz="0" w:space="0" w:color="auto"/>
      </w:divBdr>
    </w:div>
    <w:div w:id="1016691305">
      <w:bodyDiv w:val="1"/>
      <w:marLeft w:val="0"/>
      <w:marRight w:val="0"/>
      <w:marTop w:val="0"/>
      <w:marBottom w:val="0"/>
      <w:divBdr>
        <w:top w:val="none" w:sz="0" w:space="0" w:color="auto"/>
        <w:left w:val="none" w:sz="0" w:space="0" w:color="auto"/>
        <w:bottom w:val="none" w:sz="0" w:space="0" w:color="auto"/>
        <w:right w:val="none" w:sz="0" w:space="0" w:color="auto"/>
      </w:divBdr>
    </w:div>
    <w:div w:id="1047683401">
      <w:bodyDiv w:val="1"/>
      <w:marLeft w:val="0"/>
      <w:marRight w:val="0"/>
      <w:marTop w:val="0"/>
      <w:marBottom w:val="0"/>
      <w:divBdr>
        <w:top w:val="none" w:sz="0" w:space="0" w:color="auto"/>
        <w:left w:val="none" w:sz="0" w:space="0" w:color="auto"/>
        <w:bottom w:val="none" w:sz="0" w:space="0" w:color="auto"/>
        <w:right w:val="none" w:sz="0" w:space="0" w:color="auto"/>
      </w:divBdr>
    </w:div>
    <w:div w:id="1061714640">
      <w:bodyDiv w:val="1"/>
      <w:marLeft w:val="0"/>
      <w:marRight w:val="0"/>
      <w:marTop w:val="0"/>
      <w:marBottom w:val="0"/>
      <w:divBdr>
        <w:top w:val="none" w:sz="0" w:space="0" w:color="auto"/>
        <w:left w:val="none" w:sz="0" w:space="0" w:color="auto"/>
        <w:bottom w:val="none" w:sz="0" w:space="0" w:color="auto"/>
        <w:right w:val="none" w:sz="0" w:space="0" w:color="auto"/>
      </w:divBdr>
    </w:div>
    <w:div w:id="1108744002">
      <w:bodyDiv w:val="1"/>
      <w:marLeft w:val="0"/>
      <w:marRight w:val="0"/>
      <w:marTop w:val="0"/>
      <w:marBottom w:val="0"/>
      <w:divBdr>
        <w:top w:val="none" w:sz="0" w:space="0" w:color="auto"/>
        <w:left w:val="none" w:sz="0" w:space="0" w:color="auto"/>
        <w:bottom w:val="none" w:sz="0" w:space="0" w:color="auto"/>
        <w:right w:val="none" w:sz="0" w:space="0" w:color="auto"/>
      </w:divBdr>
    </w:div>
    <w:div w:id="1227106176">
      <w:bodyDiv w:val="1"/>
      <w:marLeft w:val="0"/>
      <w:marRight w:val="0"/>
      <w:marTop w:val="0"/>
      <w:marBottom w:val="0"/>
      <w:divBdr>
        <w:top w:val="none" w:sz="0" w:space="0" w:color="auto"/>
        <w:left w:val="none" w:sz="0" w:space="0" w:color="auto"/>
        <w:bottom w:val="none" w:sz="0" w:space="0" w:color="auto"/>
        <w:right w:val="none" w:sz="0" w:space="0" w:color="auto"/>
      </w:divBdr>
    </w:div>
    <w:div w:id="1545092326">
      <w:bodyDiv w:val="1"/>
      <w:marLeft w:val="0"/>
      <w:marRight w:val="0"/>
      <w:marTop w:val="0"/>
      <w:marBottom w:val="0"/>
      <w:divBdr>
        <w:top w:val="none" w:sz="0" w:space="0" w:color="auto"/>
        <w:left w:val="none" w:sz="0" w:space="0" w:color="auto"/>
        <w:bottom w:val="none" w:sz="0" w:space="0" w:color="auto"/>
        <w:right w:val="none" w:sz="0" w:space="0" w:color="auto"/>
      </w:divBdr>
    </w:div>
    <w:div w:id="1553153237">
      <w:bodyDiv w:val="1"/>
      <w:marLeft w:val="0"/>
      <w:marRight w:val="0"/>
      <w:marTop w:val="0"/>
      <w:marBottom w:val="0"/>
      <w:divBdr>
        <w:top w:val="none" w:sz="0" w:space="0" w:color="auto"/>
        <w:left w:val="none" w:sz="0" w:space="0" w:color="auto"/>
        <w:bottom w:val="none" w:sz="0" w:space="0" w:color="auto"/>
        <w:right w:val="none" w:sz="0" w:space="0" w:color="auto"/>
      </w:divBdr>
    </w:div>
    <w:div w:id="1612319410">
      <w:bodyDiv w:val="1"/>
      <w:marLeft w:val="0"/>
      <w:marRight w:val="0"/>
      <w:marTop w:val="0"/>
      <w:marBottom w:val="0"/>
      <w:divBdr>
        <w:top w:val="none" w:sz="0" w:space="0" w:color="auto"/>
        <w:left w:val="none" w:sz="0" w:space="0" w:color="auto"/>
        <w:bottom w:val="none" w:sz="0" w:space="0" w:color="auto"/>
        <w:right w:val="none" w:sz="0" w:space="0" w:color="auto"/>
      </w:divBdr>
    </w:div>
    <w:div w:id="2022004931">
      <w:bodyDiv w:val="1"/>
      <w:marLeft w:val="0"/>
      <w:marRight w:val="0"/>
      <w:marTop w:val="0"/>
      <w:marBottom w:val="0"/>
      <w:divBdr>
        <w:top w:val="none" w:sz="0" w:space="0" w:color="auto"/>
        <w:left w:val="none" w:sz="0" w:space="0" w:color="auto"/>
        <w:bottom w:val="none" w:sz="0" w:space="0" w:color="auto"/>
        <w:right w:val="none" w:sz="0" w:space="0" w:color="auto"/>
      </w:divBdr>
    </w:div>
    <w:div w:id="2060203932">
      <w:bodyDiv w:val="1"/>
      <w:marLeft w:val="0"/>
      <w:marRight w:val="0"/>
      <w:marTop w:val="0"/>
      <w:marBottom w:val="0"/>
      <w:divBdr>
        <w:top w:val="none" w:sz="0" w:space="0" w:color="auto"/>
        <w:left w:val="none" w:sz="0" w:space="0" w:color="auto"/>
        <w:bottom w:val="none" w:sz="0" w:space="0" w:color="auto"/>
        <w:right w:val="none" w:sz="0" w:space="0" w:color="auto"/>
      </w:divBdr>
    </w:div>
    <w:div w:id="2084795315">
      <w:bodyDiv w:val="1"/>
      <w:marLeft w:val="0"/>
      <w:marRight w:val="0"/>
      <w:marTop w:val="0"/>
      <w:marBottom w:val="0"/>
      <w:divBdr>
        <w:top w:val="none" w:sz="0" w:space="0" w:color="auto"/>
        <w:left w:val="none" w:sz="0" w:space="0" w:color="auto"/>
        <w:bottom w:val="none" w:sz="0" w:space="0" w:color="auto"/>
        <w:right w:val="none" w:sz="0" w:space="0" w:color="auto"/>
      </w:divBdr>
    </w:div>
    <w:div w:id="209612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assets.law360news.com/1816000/1816084/https-ecf-ncwd-uscourts-gov-doc1-13515248674.pdf" TargetMode="External"/><Relationship Id="rId18" Type="http://schemas.openxmlformats.org/officeDocument/2006/relationships/hyperlink" Target="Planned%20Parenthood%20of%20Southwest%20and%20Central%20Florida,%20et%20al.%20v.%20State%20of%20Florida,%20et%20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zgovernor.gov/office-arizona-governor/news/2024/05/governor-katie-hobbs-statement-senates-vote-repeal-1864-total" TargetMode="External"/><Relationship Id="rId7" Type="http://schemas.openxmlformats.org/officeDocument/2006/relationships/endnotes" Target="endnotes.xml"/><Relationship Id="rId12" Type="http://schemas.openxmlformats.org/officeDocument/2006/relationships/hyperlink" Target="https://transgenderlegal.org/documents/182/2024-04-29_Kadel_Opinion_HmlA6rs.pdf" TargetMode="External"/><Relationship Id="rId17" Type="http://schemas.openxmlformats.org/officeDocument/2006/relationships/hyperlink" Target="https://www.mdcourts.gov/data/opinions/coa/2024/4a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5.uscourts.gov/opinions/pub/23/23-40076-CV0.pdf" TargetMode="External"/><Relationship Id="rId20" Type="http://schemas.openxmlformats.org/officeDocument/2006/relationships/hyperlink" Target="https://legiscan.com/AZ/drafts/SB173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courtlistener.com/recap/gov.uscourts.ca1.49969/gov.uscourts.ca1.49969.108117623.0.pdf" TargetMode="External"/><Relationship Id="rId24" Type="http://schemas.openxmlformats.org/officeDocument/2006/relationships/hyperlink" Target="https://www.networkforphl.org/request-assistance/" TargetMode="External"/><Relationship Id="rId5" Type="http://schemas.openxmlformats.org/officeDocument/2006/relationships/webSettings" Target="webSettings.xml"/><Relationship Id="rId15" Type="http://schemas.openxmlformats.org/officeDocument/2006/relationships/hyperlink" Target="https://youthlaw.org/sites/default/files/2024-04/ORDER%20-%20Motion%20to%20Enforce%20%28OADS%29.pdf" TargetMode="External"/><Relationship Id="rId23" Type="http://schemas.openxmlformats.org/officeDocument/2006/relationships/hyperlink" Target="https://www.bloomberglaw.com/public/desktop/document/BRYANTvSTEINetalDocketNo123cv00077MDNCJan252023CourtDocket/7?doc_id=X5BFN5U66G9I3QHEG79JN80HE4" TargetMode="External"/><Relationship Id="rId10" Type="http://schemas.openxmlformats.org/officeDocument/2006/relationships/header" Target="header2.xml"/><Relationship Id="rId19" Type="http://schemas.openxmlformats.org/officeDocument/2006/relationships/hyperlink" Target="https://supremecourt.flcourts.gov/content/download/2285282/opinion/Opinion_SC2023-139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asetext.com/case/six-bros-v-town-of-brookline" TargetMode="External"/><Relationship Id="rId22" Type="http://schemas.openxmlformats.org/officeDocument/2006/relationships/hyperlink" Target="https://law.justia.com/cases/arizona/supreme-court/2024/cv-23-0005-p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ED7D3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bnv+TiNGm6ct4QcQ4FDp50CtGA==">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Carey</dc:creator>
  <cp:lastModifiedBy>Kayleen Klarich</cp:lastModifiedBy>
  <cp:revision>46</cp:revision>
  <cp:lastPrinted>2024-02-02T21:19:00Z</cp:lastPrinted>
  <dcterms:created xsi:type="dcterms:W3CDTF">2024-05-13T17:38:00Z</dcterms:created>
  <dcterms:modified xsi:type="dcterms:W3CDTF">2024-05-13T18:04:00Z</dcterms:modified>
</cp:coreProperties>
</file>